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5"/>
        <w:keepNext w:val="0"/>
        <w:keepLines w:val="0"/>
        <w:widowControl/>
        <w:suppressLineNumbers w:val="0"/>
        <w:spacing w:before="0" w:beforeAutospacing="0" w:after="0" w:afterAutospacing="0"/>
        <w:ind w:left="0" w:right="0"/>
        <w:jc w:val="center"/>
        <w:rPr>
          <w:color w:val="545454"/>
          <w:sz w:val="36"/>
          <w:szCs w:val="36"/>
        </w:rPr>
      </w:pPr>
      <w:r>
        <w:rPr>
          <w:rFonts w:hint="eastAsia"/>
          <w:color w:val="545454"/>
          <w:sz w:val="36"/>
          <w:szCs w:val="36"/>
        </w:rPr>
        <w:t>进出境个人快件通关办事指南</w:t>
      </w:r>
    </w:p>
    <w:p>
      <w:pPr>
        <w:pStyle w:val="15"/>
        <w:keepNext w:val="0"/>
        <w:keepLines w:val="0"/>
        <w:widowControl/>
        <w:suppressLineNumbers w:val="0"/>
        <w:spacing w:before="0" w:beforeAutospacing="0" w:after="0" w:afterAutospacing="0"/>
        <w:ind w:left="0" w:right="0"/>
      </w:pPr>
      <w:r>
        <w:rPr>
          <w:color w:val="545454"/>
        </w:rPr>
        <w:t>一、事项名称：进出境个人快件通关</w:t>
      </w:r>
    </w:p>
    <w:p>
      <w:pPr>
        <w:pStyle w:val="15"/>
        <w:keepNext w:val="0"/>
        <w:keepLines w:val="0"/>
        <w:widowControl/>
        <w:suppressLineNumbers w:val="0"/>
        <w:spacing w:before="0" w:beforeAutospacing="0" w:after="0" w:afterAutospacing="0"/>
        <w:ind w:left="0" w:right="0"/>
      </w:pPr>
      <w:r>
        <w:rPr>
          <w:color w:val="545454"/>
        </w:rPr>
        <w:t>　　二、事项类型：行政检查</w:t>
      </w:r>
    </w:p>
    <w:p>
      <w:pPr>
        <w:pStyle w:val="15"/>
        <w:keepNext w:val="0"/>
        <w:keepLines w:val="0"/>
        <w:widowControl/>
        <w:suppressLineNumbers w:val="0"/>
        <w:spacing w:before="0" w:beforeAutospacing="0" w:after="0" w:afterAutospacing="0"/>
        <w:ind w:left="0" w:right="0"/>
      </w:pPr>
      <w:r>
        <w:rPr>
          <w:color w:val="545454"/>
        </w:rPr>
        <w:t>　　三、设定依据：</w:t>
      </w:r>
    </w:p>
    <w:p>
      <w:pPr>
        <w:pStyle w:val="15"/>
        <w:keepNext w:val="0"/>
        <w:keepLines w:val="0"/>
        <w:widowControl/>
        <w:suppressLineNumbers w:val="0"/>
        <w:spacing w:before="0" w:beforeAutospacing="0" w:after="0" w:afterAutospacing="0"/>
        <w:ind w:left="0" w:right="0"/>
      </w:pPr>
      <w:r>
        <w:rPr>
          <w:color w:val="545454"/>
        </w:rPr>
        <w:t>　　（一）《中华人民共和国海关对进出境快件监管办法》</w:t>
      </w:r>
    </w:p>
    <w:p>
      <w:pPr>
        <w:pStyle w:val="15"/>
        <w:keepNext w:val="0"/>
        <w:keepLines w:val="0"/>
        <w:widowControl/>
        <w:suppressLineNumbers w:val="0"/>
        <w:spacing w:before="0" w:beforeAutospacing="0" w:after="0" w:afterAutospacing="0"/>
        <w:ind w:left="0" w:right="0"/>
      </w:pPr>
      <w:r>
        <w:rPr>
          <w:color w:val="545454"/>
        </w:rPr>
        <w:t>　　第二条  本办法所称进出境快件是指进出境快件运营人以向客户承诺的快速商业运作方式承揽、承运的进出境货物、物品。</w:t>
      </w:r>
    </w:p>
    <w:p>
      <w:pPr>
        <w:pStyle w:val="15"/>
        <w:keepNext w:val="0"/>
        <w:keepLines w:val="0"/>
        <w:widowControl/>
        <w:suppressLineNumbers w:val="0"/>
        <w:spacing w:before="0" w:beforeAutospacing="0" w:after="0" w:afterAutospacing="0"/>
        <w:ind w:left="0" w:right="0"/>
      </w:pPr>
      <w:r>
        <w:rPr>
          <w:color w:val="545454"/>
        </w:rPr>
        <w:t>　　第三条  本办法所称进出境快件运营人（以下简称运营人）是指在中华人民共和国境内依法注册，在海关登记备案的从事进出境快件运营业务的国际货物运输代理企业。</w:t>
      </w:r>
    </w:p>
    <w:p>
      <w:pPr>
        <w:pStyle w:val="15"/>
        <w:keepNext w:val="0"/>
        <w:keepLines w:val="0"/>
        <w:widowControl/>
        <w:suppressLineNumbers w:val="0"/>
        <w:spacing w:before="0" w:beforeAutospacing="0" w:after="0" w:afterAutospacing="0"/>
        <w:ind w:left="0" w:right="0"/>
      </w:pPr>
      <w:r>
        <w:rPr>
          <w:color w:val="545454"/>
        </w:rPr>
        <w:t>　　第七条  运营人申请办理进出境快件代理报关业务的，应当按照海关对国际货物运输代理企业的注册管理规定在所在地海关办理登记手续。</w:t>
      </w:r>
    </w:p>
    <w:p>
      <w:pPr>
        <w:pStyle w:val="15"/>
        <w:keepNext w:val="0"/>
        <w:keepLines w:val="0"/>
        <w:widowControl/>
        <w:suppressLineNumbers w:val="0"/>
        <w:spacing w:before="0" w:beforeAutospacing="0" w:after="0" w:afterAutospacing="0"/>
        <w:ind w:left="0" w:right="0"/>
      </w:pPr>
      <w:r>
        <w:rPr>
          <w:color w:val="545454"/>
        </w:rPr>
        <w:t>　　第十条  本办法将进出境快件分为文件类、个人物品类和货物类三类。</w:t>
      </w:r>
    </w:p>
    <w:p>
      <w:pPr>
        <w:pStyle w:val="15"/>
        <w:keepNext w:val="0"/>
        <w:keepLines w:val="0"/>
        <w:widowControl/>
        <w:suppressLineNumbers w:val="0"/>
        <w:spacing w:before="0" w:beforeAutospacing="0" w:after="0" w:afterAutospacing="0"/>
        <w:ind w:left="0" w:right="0"/>
      </w:pPr>
      <w:r>
        <w:rPr>
          <w:color w:val="545454"/>
        </w:rPr>
        <w:t>　　第十二条  个人物品类进出境快件是指海关法规规定自用、合理数量范围内的进出境的旅客分离运输行李物品、亲友间相互馈赠物品和其他个人物品。</w:t>
      </w:r>
    </w:p>
    <w:p>
      <w:pPr>
        <w:pStyle w:val="15"/>
        <w:keepNext w:val="0"/>
        <w:keepLines w:val="0"/>
        <w:widowControl/>
        <w:suppressLineNumbers w:val="0"/>
        <w:spacing w:before="0" w:beforeAutospacing="0" w:after="0" w:afterAutospacing="0"/>
        <w:ind w:left="0" w:right="0"/>
      </w:pPr>
      <w:r>
        <w:rPr>
          <w:color w:val="545454"/>
        </w:rPr>
        <w:t>　　第十五条  进出境快件通关应当在海关正常办公时间内进行，如需在海关正常办公时间以外进行的，需事先征得所在地海关同意。</w:t>
      </w:r>
    </w:p>
    <w:p>
      <w:pPr>
        <w:pStyle w:val="15"/>
        <w:keepNext w:val="0"/>
        <w:keepLines w:val="0"/>
        <w:widowControl/>
        <w:suppressLineNumbers w:val="0"/>
        <w:spacing w:before="0" w:beforeAutospacing="0" w:after="0" w:afterAutospacing="0"/>
        <w:ind w:left="0" w:right="0"/>
      </w:pPr>
      <w:r>
        <w:rPr>
          <w:color w:val="545454"/>
        </w:rPr>
        <w:t>　　第十六条  进境快件自运输工具申报进境之日起十四日内，出境快件在运输工具离境3小时之前，应当向海关申报。</w:t>
      </w:r>
    </w:p>
    <w:p>
      <w:pPr>
        <w:pStyle w:val="15"/>
        <w:keepNext w:val="0"/>
        <w:keepLines w:val="0"/>
        <w:widowControl/>
        <w:suppressLineNumbers w:val="0"/>
        <w:spacing w:before="0" w:beforeAutospacing="0" w:after="0" w:afterAutospacing="0"/>
        <w:ind w:left="0" w:right="0"/>
      </w:pPr>
      <w:r>
        <w:rPr>
          <w:color w:val="545454"/>
        </w:rPr>
        <w:t>　　第十七条  运营人应向海关传输或递交进出境快件舱单或清单，海关确认无误后接受申报；运营人需提前报关的，应当提前将进出境快件运输和抵达情况书面通知海关，并向海关传输或递交舱单或清单，海关确认无误后接受预申报。</w:t>
      </w:r>
    </w:p>
    <w:p>
      <w:pPr>
        <w:pStyle w:val="15"/>
        <w:keepNext w:val="0"/>
        <w:keepLines w:val="0"/>
        <w:widowControl/>
        <w:suppressLineNumbers w:val="0"/>
        <w:spacing w:before="0" w:beforeAutospacing="0" w:after="0" w:afterAutospacing="0"/>
        <w:ind w:left="0" w:right="0"/>
      </w:pPr>
      <w:r>
        <w:rPr>
          <w:color w:val="545454"/>
        </w:rPr>
        <w:t>　　第十八条  海关查验进出境快件时，运营人应派员到场，并负责进出境快件的搬移、开拆和重封包装。</w:t>
      </w:r>
    </w:p>
    <w:p>
      <w:pPr>
        <w:pStyle w:val="15"/>
        <w:keepNext w:val="0"/>
        <w:keepLines w:val="0"/>
        <w:widowControl/>
        <w:suppressLineNumbers w:val="0"/>
        <w:spacing w:before="0" w:beforeAutospacing="0" w:after="0" w:afterAutospacing="0"/>
        <w:ind w:left="0" w:right="0"/>
      </w:pPr>
      <w:r>
        <w:rPr>
          <w:color w:val="545454"/>
        </w:rPr>
        <w:t>　　海关对进出境快件中的个人物品实施开拆查验时，运营人应通知进境快件的收件人或出境快件的发件人到场，收件人或发件人不能到场的，运营人应向海关提交其委托书，代理收/发件人的义务，并承担相应法律责任。</w:t>
      </w:r>
    </w:p>
    <w:p>
      <w:pPr>
        <w:pStyle w:val="15"/>
        <w:keepNext w:val="0"/>
        <w:keepLines w:val="0"/>
        <w:widowControl/>
        <w:suppressLineNumbers w:val="0"/>
        <w:spacing w:before="0" w:beforeAutospacing="0" w:after="0" w:afterAutospacing="0"/>
        <w:ind w:left="0" w:right="0"/>
      </w:pPr>
      <w:r>
        <w:rPr>
          <w:color w:val="545454"/>
        </w:rPr>
        <w:t>　　海关认为必要时，可对进出境快件予以径行开验、复验或者提取货样。</w:t>
      </w:r>
    </w:p>
    <w:p>
      <w:pPr>
        <w:pStyle w:val="15"/>
        <w:keepNext w:val="0"/>
        <w:keepLines w:val="0"/>
        <w:widowControl/>
        <w:suppressLineNumbers w:val="0"/>
        <w:spacing w:before="0" w:beforeAutospacing="0" w:after="0" w:afterAutospacing="0"/>
        <w:ind w:left="0" w:right="0"/>
      </w:pPr>
      <w:r>
        <w:rPr>
          <w:color w:val="545454"/>
        </w:rPr>
        <w:t>　　第十九条  除另有规定外，运营人办理进出境快件报关手续时，应当按本办法第十一条、第十二条、第十三条分类规定分别向海关提交有关报关单证并办理相应的报关、纳税手续。</w:t>
      </w:r>
    </w:p>
    <w:p>
      <w:pPr>
        <w:pStyle w:val="15"/>
        <w:keepNext w:val="0"/>
        <w:keepLines w:val="0"/>
        <w:widowControl/>
        <w:suppressLineNumbers w:val="0"/>
        <w:spacing w:before="0" w:beforeAutospacing="0" w:after="0" w:afterAutospacing="0"/>
        <w:ind w:left="0" w:right="0"/>
      </w:pPr>
      <w:r>
        <w:rPr>
          <w:color w:val="545454"/>
        </w:rPr>
        <w:t>　　第二十一条  个人物品类进出境快件报关时，运营人应当向海关提交《中华人民共和国海关进出境快件个人物品申报单》、每一进出境快件的分运单、进境快件收件人或出境快件发件人身份证件影印件和海关需要的其他单证。</w:t>
      </w:r>
    </w:p>
    <w:p>
      <w:pPr>
        <w:pStyle w:val="15"/>
        <w:keepNext w:val="0"/>
        <w:keepLines w:val="0"/>
        <w:widowControl/>
        <w:suppressLineNumbers w:val="0"/>
        <w:spacing w:before="0" w:beforeAutospacing="0" w:after="0" w:afterAutospacing="0"/>
        <w:ind w:left="0" w:right="0"/>
      </w:pPr>
      <w:r>
        <w:rPr>
          <w:color w:val="545454"/>
        </w:rPr>
        <w:t>　　（二）《海关总署关于调整进出境个人邮递物品管理措施有关事项的公告》（2010年43号公告）</w:t>
      </w:r>
    </w:p>
    <w:p>
      <w:pPr>
        <w:pStyle w:val="15"/>
        <w:keepNext w:val="0"/>
        <w:keepLines w:val="0"/>
        <w:widowControl/>
        <w:suppressLineNumbers w:val="0"/>
        <w:spacing w:before="0" w:beforeAutospacing="0" w:after="0" w:afterAutospacing="0"/>
        <w:ind w:left="0" w:right="0"/>
      </w:pPr>
      <w:r>
        <w:rPr>
          <w:color w:val="545454"/>
        </w:rPr>
        <w:t>　　一、个人邮寄进境物品，海关依法征收进口税，但应征进口税税额在人民币50元（含50元）以下的，海关予以免征。</w:t>
      </w:r>
    </w:p>
    <w:p>
      <w:pPr>
        <w:pStyle w:val="15"/>
        <w:keepNext w:val="0"/>
        <w:keepLines w:val="0"/>
        <w:widowControl/>
        <w:suppressLineNumbers w:val="0"/>
        <w:spacing w:before="0" w:beforeAutospacing="0" w:after="0" w:afterAutospacing="0"/>
        <w:ind w:left="0" w:right="0"/>
      </w:pPr>
      <w:r>
        <w:rPr>
          <w:color w:val="545454"/>
        </w:rPr>
        <w:t>　　二、个人寄自或寄往港、澳、台地区的物品，每次限值为800元人民币；寄自或寄往其它国家和地区的物品，每次限值为1000元人民币。</w:t>
      </w:r>
    </w:p>
    <w:p>
      <w:pPr>
        <w:pStyle w:val="15"/>
        <w:keepNext w:val="0"/>
        <w:keepLines w:val="0"/>
        <w:widowControl/>
        <w:suppressLineNumbers w:val="0"/>
        <w:spacing w:before="0" w:beforeAutospacing="0" w:after="0" w:afterAutospacing="0"/>
        <w:ind w:left="0" w:right="0"/>
      </w:pPr>
      <w:r>
        <w:rPr>
          <w:color w:val="545454"/>
        </w:rPr>
        <w:t>　　三、个人邮寄进出境物品超出规定限值的，应办理退运手续或者按照货物规定办理通关手续。但邮包内仅有一件物品且不可分割的，虽超出规定限值，经海关审核确属个人自用的，可以按照个人物品规定办理通关手续。</w:t>
      </w:r>
    </w:p>
    <w:p>
      <w:pPr>
        <w:pStyle w:val="15"/>
        <w:keepNext w:val="0"/>
        <w:keepLines w:val="0"/>
        <w:widowControl/>
        <w:suppressLineNumbers w:val="0"/>
        <w:spacing w:before="0" w:beforeAutospacing="0" w:after="0" w:afterAutospacing="0"/>
        <w:ind w:left="0" w:right="0"/>
      </w:pPr>
      <w:r>
        <w:rPr>
          <w:color w:val="545454"/>
        </w:rPr>
        <w:t>　　（二）《海关总署关于升级新版快件通关管理系统相关事宜的公告》（2018年第119号）</w:t>
      </w:r>
    </w:p>
    <w:p>
      <w:pPr>
        <w:pStyle w:val="15"/>
        <w:keepNext w:val="0"/>
        <w:keepLines w:val="0"/>
        <w:widowControl/>
        <w:suppressLineNumbers w:val="0"/>
        <w:spacing w:before="0" w:beforeAutospacing="0" w:after="0" w:afterAutospacing="0"/>
        <w:ind w:left="0" w:right="0"/>
      </w:pPr>
      <w:r>
        <w:rPr>
          <w:color w:val="545454"/>
        </w:rPr>
        <w:t>　　一、海关总署2016年第19号公告中的文件类进出境快件（简称A类快件）、个人物品类进出境快件（简称B类快件）分类不变；对低值货物类进出境快件（简称C类快件）范围进行调整，C类快件是指价值在5000元人民币（不包括运、保、杂费等）及以下的货物，但符合以下条件之一的除外：</w:t>
      </w:r>
    </w:p>
    <w:p>
      <w:pPr>
        <w:pStyle w:val="15"/>
        <w:keepNext w:val="0"/>
        <w:keepLines w:val="0"/>
        <w:widowControl/>
        <w:suppressLineNumbers w:val="0"/>
        <w:spacing w:before="0" w:beforeAutospacing="0" w:after="0" w:afterAutospacing="0"/>
        <w:ind w:left="0" w:right="0"/>
      </w:pPr>
      <w:r>
        <w:rPr>
          <w:color w:val="545454"/>
        </w:rPr>
        <w:t>　　（一）涉及许可证件管制的；</w:t>
      </w:r>
    </w:p>
    <w:p>
      <w:pPr>
        <w:pStyle w:val="15"/>
        <w:keepNext w:val="0"/>
        <w:keepLines w:val="0"/>
        <w:widowControl/>
        <w:suppressLineNumbers w:val="0"/>
        <w:spacing w:before="0" w:beforeAutospacing="0" w:after="0" w:afterAutospacing="0"/>
        <w:ind w:left="0" w:right="0"/>
      </w:pPr>
      <w:r>
        <w:rPr>
          <w:color w:val="545454"/>
        </w:rPr>
        <w:t>　　（二）需要办理出口退税、出口收汇或者进口付汇的；</w:t>
      </w:r>
    </w:p>
    <w:p>
      <w:pPr>
        <w:pStyle w:val="15"/>
        <w:keepNext w:val="0"/>
        <w:keepLines w:val="0"/>
        <w:widowControl/>
        <w:suppressLineNumbers w:val="0"/>
        <w:spacing w:before="0" w:beforeAutospacing="0" w:after="0" w:afterAutospacing="0"/>
        <w:ind w:left="0" w:right="0"/>
      </w:pPr>
      <w:r>
        <w:rPr>
          <w:color w:val="545454"/>
        </w:rPr>
        <w:t>　　（三）一般贸易监管方式下依法应当进行检验检疫的；</w:t>
      </w:r>
    </w:p>
    <w:p>
      <w:pPr>
        <w:pStyle w:val="15"/>
        <w:keepNext w:val="0"/>
        <w:keepLines w:val="0"/>
        <w:widowControl/>
        <w:suppressLineNumbers w:val="0"/>
        <w:spacing w:before="0" w:beforeAutospacing="0" w:after="0" w:afterAutospacing="0"/>
        <w:ind w:left="0" w:right="0"/>
      </w:pPr>
      <w:r>
        <w:rPr>
          <w:color w:val="545454"/>
        </w:rPr>
        <w:t>　　（四）货样广告品监管方式下依法应当进行口岸检疫的。</w:t>
      </w:r>
    </w:p>
    <w:p>
      <w:pPr>
        <w:pStyle w:val="15"/>
        <w:keepNext w:val="0"/>
        <w:keepLines w:val="0"/>
        <w:widowControl/>
        <w:suppressLineNumbers w:val="0"/>
        <w:spacing w:before="0" w:beforeAutospacing="0" w:after="0" w:afterAutospacing="0"/>
        <w:ind w:left="0" w:right="0"/>
      </w:pPr>
      <w:r>
        <w:rPr>
          <w:color w:val="545454"/>
        </w:rPr>
        <w:t>　　二、升级后的新快件系统适用于A、B、C类快件报关。</w:t>
      </w:r>
    </w:p>
    <w:p>
      <w:pPr>
        <w:pStyle w:val="15"/>
        <w:keepNext w:val="0"/>
        <w:keepLines w:val="0"/>
        <w:widowControl/>
        <w:suppressLineNumbers w:val="0"/>
        <w:spacing w:before="0" w:beforeAutospacing="0" w:after="0" w:afterAutospacing="0"/>
        <w:ind w:left="0" w:right="0"/>
      </w:pPr>
      <w:r>
        <w:rPr>
          <w:color w:val="545454"/>
        </w:rPr>
        <w:t>　　四、快件运营人应当如实向海关申报，并按照海关要求提供相关材料。</w:t>
      </w:r>
    </w:p>
    <w:p>
      <w:pPr>
        <w:pStyle w:val="15"/>
        <w:keepNext w:val="0"/>
        <w:keepLines w:val="0"/>
        <w:widowControl/>
        <w:suppressLineNumbers w:val="0"/>
        <w:spacing w:before="0" w:beforeAutospacing="0" w:after="0" w:afterAutospacing="0"/>
        <w:ind w:left="0" w:right="0"/>
      </w:pPr>
      <w:r>
        <w:rPr>
          <w:color w:val="545454"/>
        </w:rPr>
        <w:t>　　（二）《海关总署关于启用新快件通关管理系统相关事宜的公告》（2016年第19号）</w:t>
      </w:r>
    </w:p>
    <w:p>
      <w:pPr>
        <w:pStyle w:val="15"/>
        <w:keepNext w:val="0"/>
        <w:keepLines w:val="0"/>
        <w:widowControl/>
        <w:suppressLineNumbers w:val="0"/>
        <w:spacing w:before="0" w:beforeAutospacing="0" w:after="0" w:afterAutospacing="0"/>
        <w:ind w:left="0" w:right="0"/>
      </w:pPr>
      <w:r>
        <w:rPr>
          <w:color w:val="545454"/>
        </w:rPr>
        <w:t>　　一、新快件系统适用于文件类进出境快件（以下简称A类快件）、个人物品类进出境快件（以下简称B类快件）和低值货物类进出境快件（以下简称C类快件）报关。其中：</w:t>
      </w:r>
    </w:p>
    <w:p>
      <w:pPr>
        <w:pStyle w:val="15"/>
        <w:keepNext w:val="0"/>
        <w:keepLines w:val="0"/>
        <w:widowControl/>
        <w:suppressLineNumbers w:val="0"/>
        <w:spacing w:before="0" w:beforeAutospacing="0" w:after="0" w:afterAutospacing="0"/>
        <w:ind w:left="0" w:right="0"/>
      </w:pPr>
      <w:r>
        <w:rPr>
          <w:color w:val="545454"/>
        </w:rPr>
        <w:t>　　A类快件是指无商业价值的文件、单证、票据和资料（依照法律、行政法规以及国家有关规定应当予以征税的除外）。</w:t>
      </w:r>
    </w:p>
    <w:p>
      <w:pPr>
        <w:pStyle w:val="15"/>
        <w:keepNext w:val="0"/>
        <w:keepLines w:val="0"/>
        <w:widowControl/>
        <w:suppressLineNumbers w:val="0"/>
        <w:spacing w:before="0" w:beforeAutospacing="0" w:after="0" w:afterAutospacing="0"/>
        <w:ind w:left="0" w:right="0"/>
      </w:pPr>
      <w:r>
        <w:rPr>
          <w:color w:val="545454"/>
        </w:rPr>
        <w:t>　　B类快件是指境内收寄件人（自然人）收取或者交寄的个人自用物品（旅客分离运输行李物品除外）。</w:t>
      </w:r>
    </w:p>
    <w:p>
      <w:pPr>
        <w:pStyle w:val="15"/>
        <w:keepNext w:val="0"/>
        <w:keepLines w:val="0"/>
        <w:widowControl/>
        <w:suppressLineNumbers w:val="0"/>
        <w:spacing w:before="0" w:beforeAutospacing="0" w:after="0" w:afterAutospacing="0"/>
        <w:ind w:left="0" w:right="0"/>
      </w:pPr>
      <w:r>
        <w:rPr>
          <w:color w:val="545454"/>
        </w:rPr>
        <w:t>　　C类快件是指价值在5000元人民币（不包括运、保、杂费等）及以下的货物（涉及许可证件管制的，需要办理出口退税、出口收汇或者进口付汇的除外）。</w:t>
      </w:r>
    </w:p>
    <w:p>
      <w:pPr>
        <w:pStyle w:val="15"/>
        <w:keepNext w:val="0"/>
        <w:keepLines w:val="0"/>
        <w:widowControl/>
        <w:suppressLineNumbers w:val="0"/>
        <w:spacing w:before="0" w:beforeAutospacing="0" w:after="0" w:afterAutospacing="0"/>
        <w:ind w:left="0" w:right="0"/>
      </w:pPr>
      <w:r>
        <w:rPr>
          <w:color w:val="545454"/>
        </w:rPr>
        <w:t>　　二、A类快件报关时，快件运营人应当向海关提交A类快件报关单（格式详见附件）、总运单（复印件）和海关需要的其他单证。</w:t>
      </w:r>
    </w:p>
    <w:p>
      <w:pPr>
        <w:pStyle w:val="15"/>
        <w:keepNext w:val="0"/>
        <w:keepLines w:val="0"/>
        <w:widowControl/>
        <w:suppressLineNumbers w:val="0"/>
        <w:spacing w:before="0" w:beforeAutospacing="0" w:after="0" w:afterAutospacing="0"/>
        <w:ind w:left="0" w:right="0"/>
      </w:pPr>
      <w:r>
        <w:rPr>
          <w:color w:val="545454"/>
        </w:rPr>
        <w:t>　　B类快件报关时，快件运营人应当向海关提交B类快件报关单（格式详见附件）、每一进出境快件的分运单、进境快件收件人或出境快件发件人身份证影印件和海关需要的其他单证。B类快件的限量、限值、税收征管等事项应当符合海关总署关于邮递进出境个人物品相关规定。</w:t>
      </w:r>
    </w:p>
    <w:p>
      <w:pPr>
        <w:pStyle w:val="15"/>
        <w:keepNext w:val="0"/>
        <w:keepLines w:val="0"/>
        <w:widowControl/>
        <w:suppressLineNumbers w:val="0"/>
        <w:spacing w:before="0" w:beforeAutospacing="0" w:after="0" w:afterAutospacing="0"/>
        <w:ind w:left="0" w:right="0"/>
      </w:pPr>
      <w:r>
        <w:rPr>
          <w:color w:val="545454"/>
        </w:rPr>
        <w:t>　　C类快件报关时，快件运营人应当向海关提交C类快件报关单（格式详见附件）、代理报关委托书或者委托报关协议、每一进出境快件的分运单、发票和海关需要的其他单证，并按照进出境货物规定缴纳税款。进出境C类快件的监管方式为“一般贸易”或者“货样广告品A”，征免性质为“一般征税”，征减免税方式为“照章征税”。</w:t>
      </w:r>
    </w:p>
    <w:p>
      <w:pPr>
        <w:pStyle w:val="15"/>
        <w:keepNext w:val="0"/>
        <w:keepLines w:val="0"/>
        <w:widowControl/>
        <w:suppressLineNumbers w:val="0"/>
        <w:spacing w:before="0" w:beforeAutospacing="0" w:after="0" w:afterAutospacing="0"/>
        <w:ind w:left="0" w:right="0"/>
      </w:pPr>
      <w:r>
        <w:rPr>
          <w:color w:val="545454"/>
        </w:rPr>
        <w:t>　　快件运营人按照上述规定提交复印件（影印件）的，海关可要求快件运营人提供原件验核。</w:t>
      </w:r>
    </w:p>
    <w:p>
      <w:pPr>
        <w:pStyle w:val="15"/>
        <w:keepNext w:val="0"/>
        <w:keepLines w:val="0"/>
        <w:widowControl/>
        <w:suppressLineNumbers w:val="0"/>
        <w:spacing w:before="0" w:beforeAutospacing="0" w:after="0" w:afterAutospacing="0"/>
        <w:ind w:left="0" w:right="0"/>
      </w:pPr>
      <w:r>
        <w:rPr>
          <w:color w:val="545454"/>
        </w:rPr>
        <w:t>　　四、实施机构：昆明邮局海关快件监管科、勐腊海关驻磨憨办事处快件监管科</w:t>
      </w:r>
    </w:p>
    <w:p>
      <w:pPr>
        <w:pStyle w:val="15"/>
        <w:keepNext w:val="0"/>
        <w:keepLines w:val="0"/>
        <w:widowControl/>
        <w:suppressLineNumbers w:val="0"/>
        <w:spacing w:before="0" w:beforeAutospacing="0" w:after="0" w:afterAutospacing="0"/>
        <w:ind w:left="0" w:right="0"/>
      </w:pPr>
      <w:r>
        <w:rPr>
          <w:color w:val="545454"/>
        </w:rPr>
        <w:t>　　五、法定办结时限：无</w:t>
      </w:r>
    </w:p>
    <w:p>
      <w:pPr>
        <w:pStyle w:val="15"/>
        <w:keepNext w:val="0"/>
        <w:keepLines w:val="0"/>
        <w:widowControl/>
        <w:suppressLineNumbers w:val="0"/>
        <w:spacing w:before="0" w:beforeAutospacing="0" w:after="0" w:afterAutospacing="0"/>
        <w:ind w:left="0" w:right="0"/>
      </w:pPr>
      <w:r>
        <w:rPr>
          <w:color w:val="545454"/>
        </w:rPr>
        <w:t>　　六、承诺办结时限：无</w:t>
      </w:r>
    </w:p>
    <w:p>
      <w:pPr>
        <w:pStyle w:val="15"/>
        <w:keepNext w:val="0"/>
        <w:keepLines w:val="0"/>
        <w:widowControl/>
        <w:suppressLineNumbers w:val="0"/>
        <w:spacing w:before="0" w:beforeAutospacing="0" w:after="0" w:afterAutospacing="0"/>
        <w:ind w:left="0" w:right="0"/>
      </w:pPr>
      <w:r>
        <w:rPr>
          <w:color w:val="545454"/>
        </w:rPr>
        <w:t>　　七、结果名称：放行、退单、退运、扣留</w:t>
      </w:r>
    </w:p>
    <w:p>
      <w:pPr>
        <w:pStyle w:val="15"/>
        <w:keepNext w:val="0"/>
        <w:keepLines w:val="0"/>
        <w:widowControl/>
        <w:suppressLineNumbers w:val="0"/>
        <w:spacing w:before="0" w:beforeAutospacing="0" w:after="0" w:afterAutospacing="0"/>
        <w:ind w:left="0" w:right="0"/>
      </w:pPr>
      <w:r>
        <w:rPr>
          <w:color w:val="545454"/>
        </w:rPr>
        <w:t>　　八、结果样本：无</w:t>
      </w:r>
    </w:p>
    <w:p>
      <w:pPr>
        <w:pStyle w:val="15"/>
        <w:keepNext w:val="0"/>
        <w:keepLines w:val="0"/>
        <w:widowControl/>
        <w:suppressLineNumbers w:val="0"/>
        <w:spacing w:before="0" w:beforeAutospacing="0" w:after="0" w:afterAutospacing="0"/>
        <w:ind w:left="0" w:right="0"/>
      </w:pPr>
      <w:r>
        <w:rPr>
          <w:color w:val="545454"/>
        </w:rPr>
        <w:t>　　九、收费标准：不收费</w:t>
      </w:r>
    </w:p>
    <w:p>
      <w:pPr>
        <w:pStyle w:val="15"/>
        <w:keepNext w:val="0"/>
        <w:keepLines w:val="0"/>
        <w:widowControl/>
        <w:suppressLineNumbers w:val="0"/>
        <w:spacing w:before="0" w:beforeAutospacing="0" w:after="0" w:afterAutospacing="0"/>
        <w:ind w:left="0" w:right="0"/>
      </w:pPr>
      <w:r>
        <w:rPr>
          <w:color w:val="545454"/>
        </w:rPr>
        <w:t>　　十、收费依据：无</w:t>
      </w:r>
    </w:p>
    <w:p>
      <w:pPr>
        <w:pStyle w:val="15"/>
        <w:keepNext w:val="0"/>
        <w:keepLines w:val="0"/>
        <w:widowControl/>
        <w:suppressLineNumbers w:val="0"/>
        <w:spacing w:before="0" w:beforeAutospacing="0" w:after="0" w:afterAutospacing="0"/>
        <w:ind w:left="0" w:right="0"/>
      </w:pPr>
      <w:r>
        <w:rPr>
          <w:color w:val="545454"/>
        </w:rPr>
        <w:t>　　十一、申请条件：进出境快件运营人</w:t>
      </w:r>
    </w:p>
    <w:p>
      <w:pPr>
        <w:pStyle w:val="15"/>
        <w:keepNext w:val="0"/>
        <w:keepLines w:val="0"/>
        <w:widowControl/>
        <w:suppressLineNumbers w:val="0"/>
        <w:spacing w:before="0" w:beforeAutospacing="0" w:after="0" w:afterAutospacing="0"/>
        <w:ind w:left="0" w:right="0"/>
      </w:pPr>
      <w:r>
        <w:rPr>
          <w:color w:val="545454"/>
        </w:rPr>
        <w:t>　　十二、申请材料：</w:t>
      </w:r>
    </w:p>
    <w:p>
      <w:pPr>
        <w:pStyle w:val="15"/>
        <w:keepNext w:val="0"/>
        <w:keepLines w:val="0"/>
        <w:widowControl/>
        <w:suppressLineNumbers w:val="0"/>
        <w:spacing w:before="0" w:beforeAutospacing="0" w:after="0" w:afterAutospacing="0"/>
        <w:ind w:left="0" w:right="0"/>
      </w:pPr>
      <w:r>
        <w:rPr>
          <w:color w:val="545454"/>
        </w:rPr>
        <w:t>     </w:t>
      </w:r>
    </w:p>
    <w:tbl>
      <w:tblPr>
        <w:jc w:val="left"/>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blGrid>
        <w:gridCol w:w="640"/>
        <w:gridCol w:w="3680"/>
        <w:gridCol w:w="1120"/>
        <w:gridCol w:w="960"/>
        <w:gridCol w:w="960"/>
        <w:gridCol w:w="960"/>
      </w:tblGrid>
      <w:tr>
        <w:tc>
          <w:tcPr>
            <w:tcW w:w="720" w:type="dxa"/>
            <w:tcBorders>
              <w:top w:val="single" w:sz="6" w:space="0" w:color="auto"/>
              <w:left w:val="single" w:sz="6" w:space="0" w:color="auto"/>
              <w:bottom w:val="single" w:sz="6" w:space="0" w:color="auto"/>
              <w:right w:val="single" w:sz="6" w:space="0" w:color="auto"/>
            </w:tcBorders>
            <w:shd w:val="clear" w:color="auto" w:fill="auto"/>
            <w:vAlign w:val="center"/>
          </w:tcPr>
          <w:p>
            <w:pPr>
              <w:pStyle w:val="15"/>
              <w:keepNext w:val="0"/>
              <w:keepLines w:val="0"/>
              <w:widowControl/>
              <w:suppressLineNumbers w:val="0"/>
            </w:pPr>
            <w:r>
              <w:rPr>
                <w:rFonts w:ascii="宋体" w:eastAsia="宋体" w:cs="宋体" w:hint="eastAsia"/>
                <w:color w:val="auto"/>
                <w:sz w:val="28"/>
                <w:szCs w:val="28"/>
              </w:rPr>
              <w:t>序号</w:t>
            </w:r>
          </w:p>
        </w:tc>
        <w:tc>
          <w:tcPr>
            <w:tcW w:w="4140" w:type="dxa"/>
            <w:tcBorders>
              <w:top w:val="single" w:sz="6" w:space="0" w:color="auto"/>
              <w:left w:val="single" w:sz="6" w:space="0" w:color="auto"/>
              <w:bottom w:val="single" w:sz="6" w:space="0" w:color="auto"/>
              <w:right w:val="single" w:sz="6" w:space="0" w:color="auto"/>
            </w:tcBorders>
            <w:shd w:val="clear" w:color="auto" w:fill="auto"/>
            <w:vAlign w:val="center"/>
          </w:tcPr>
          <w:p>
            <w:pPr>
              <w:pStyle w:val="15"/>
              <w:keepNext w:val="0"/>
              <w:keepLines w:val="0"/>
              <w:widowControl/>
              <w:suppressLineNumbers w:val="0"/>
            </w:pPr>
            <w:r>
              <w:rPr>
                <w:rFonts w:ascii="宋体" w:eastAsia="宋体" w:cs="宋体" w:hint="eastAsia"/>
                <w:color w:val="auto"/>
                <w:sz w:val="28"/>
                <w:szCs w:val="28"/>
              </w:rPr>
              <w:t>材料</w:t>
            </w:r>
          </w:p>
          <w:p>
            <w:pPr>
              <w:pStyle w:val="15"/>
              <w:keepNext w:val="0"/>
              <w:keepLines w:val="0"/>
              <w:widowControl/>
              <w:suppressLineNumbers w:val="0"/>
            </w:pPr>
            <w:r>
              <w:rPr>
                <w:rFonts w:ascii="宋体" w:eastAsia="宋体" w:cs="宋体" w:hint="eastAsia"/>
                <w:color w:val="auto"/>
                <w:sz w:val="28"/>
                <w:szCs w:val="28"/>
              </w:rPr>
              <w:t>名录</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tcPr>
          <w:p>
            <w:pPr>
              <w:pStyle w:val="15"/>
              <w:keepNext w:val="0"/>
              <w:keepLines w:val="0"/>
              <w:widowControl/>
              <w:suppressLineNumbers w:val="0"/>
            </w:pPr>
            <w:r>
              <w:rPr>
                <w:rFonts w:ascii="宋体" w:eastAsia="宋体" w:cs="宋体" w:hint="eastAsia"/>
                <w:color w:val="auto"/>
                <w:sz w:val="28"/>
                <w:szCs w:val="28"/>
              </w:rPr>
              <w:t>原件</w:t>
            </w:r>
          </w:p>
          <w:p>
            <w:pPr>
              <w:pStyle w:val="15"/>
              <w:keepNext w:val="0"/>
              <w:keepLines w:val="0"/>
              <w:widowControl/>
              <w:suppressLineNumbers w:val="0"/>
            </w:pPr>
            <w:r>
              <w:rPr>
                <w:rFonts w:ascii="宋体" w:eastAsia="宋体" w:cs="宋体" w:hint="eastAsia"/>
                <w:color w:val="auto"/>
                <w:sz w:val="28"/>
                <w:szCs w:val="28"/>
              </w:rPr>
              <w:t>/复印件</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pPr>
              <w:pStyle w:val="15"/>
              <w:keepNext w:val="0"/>
              <w:keepLines w:val="0"/>
              <w:widowControl/>
              <w:suppressLineNumbers w:val="0"/>
            </w:pPr>
            <w:r>
              <w:rPr>
                <w:rFonts w:ascii="宋体" w:eastAsia="宋体" w:cs="宋体" w:hint="eastAsia"/>
                <w:color w:val="auto"/>
                <w:sz w:val="28"/>
                <w:szCs w:val="28"/>
              </w:rPr>
              <w:t>份数</w:t>
            </w:r>
          </w:p>
          <w:p>
            <w:pPr>
              <w:pStyle w:val="15"/>
              <w:keepNext w:val="0"/>
              <w:keepLines w:val="0"/>
              <w:widowControl/>
              <w:suppressLineNumbers w:val="0"/>
            </w:pPr>
            <w:r>
              <w:rPr>
                <w:rFonts w:ascii="宋体" w:eastAsia="宋体" w:cs="宋体" w:hint="eastAsia"/>
                <w:color w:val="auto"/>
                <w:sz w:val="28"/>
                <w:szCs w:val="28"/>
              </w:rPr>
              <w:t>（份）</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pPr>
              <w:pStyle w:val="15"/>
              <w:keepNext w:val="0"/>
              <w:keepLines w:val="0"/>
              <w:widowControl/>
              <w:suppressLineNumbers w:val="0"/>
            </w:pPr>
            <w:r>
              <w:rPr>
                <w:rFonts w:ascii="宋体" w:eastAsia="宋体" w:cs="宋体" w:hint="eastAsia"/>
                <w:color w:val="auto"/>
                <w:sz w:val="28"/>
                <w:szCs w:val="28"/>
              </w:rPr>
              <w:t>纸质</w:t>
            </w:r>
          </w:p>
          <w:p>
            <w:pPr>
              <w:pStyle w:val="15"/>
              <w:keepNext w:val="0"/>
              <w:keepLines w:val="0"/>
              <w:widowControl/>
              <w:suppressLineNumbers w:val="0"/>
            </w:pPr>
            <w:r>
              <w:rPr>
                <w:rFonts w:ascii="宋体" w:eastAsia="宋体" w:cs="宋体" w:hint="eastAsia"/>
                <w:color w:val="auto"/>
                <w:sz w:val="28"/>
                <w:szCs w:val="28"/>
              </w:rPr>
              <w:t>/电子</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pPr>
              <w:pStyle w:val="15"/>
              <w:keepNext w:val="0"/>
              <w:keepLines w:val="0"/>
              <w:widowControl/>
              <w:suppressLineNumbers w:val="0"/>
            </w:pPr>
            <w:r>
              <w:rPr>
                <w:rFonts w:ascii="宋体" w:eastAsia="宋体" w:cs="宋体" w:hint="eastAsia"/>
                <w:color w:val="auto"/>
                <w:sz w:val="28"/>
                <w:szCs w:val="28"/>
              </w:rPr>
              <w:t>要求</w:t>
            </w:r>
          </w:p>
        </w:tc>
      </w:tr>
      <w:tr>
        <w:tc>
          <w:tcPr>
            <w:tcW w:w="720" w:type="dxa"/>
            <w:tcBorders>
              <w:top w:val="single" w:sz="6" w:space="0" w:color="auto"/>
              <w:left w:val="single" w:sz="6" w:space="0" w:color="auto"/>
              <w:bottom w:val="single" w:sz="6" w:space="0" w:color="auto"/>
              <w:right w:val="single" w:sz="6" w:space="0" w:color="auto"/>
            </w:tcBorders>
            <w:shd w:val="clear" w:color="auto" w:fill="auto"/>
            <w:vAlign w:val="center"/>
          </w:tcPr>
          <w:p>
            <w:pPr>
              <w:pStyle w:val="15"/>
              <w:keepNext w:val="0"/>
              <w:keepLines w:val="0"/>
              <w:widowControl/>
              <w:suppressLineNumbers w:val="0"/>
            </w:pPr>
            <w:r>
              <w:rPr>
                <w:rFonts w:ascii="宋体" w:eastAsia="宋体" w:cs="宋体" w:hint="eastAsia"/>
                <w:color w:val="auto"/>
                <w:sz w:val="28"/>
                <w:szCs w:val="28"/>
              </w:rPr>
              <w:t>1</w:t>
            </w:r>
          </w:p>
        </w:tc>
        <w:tc>
          <w:tcPr>
            <w:tcW w:w="4140" w:type="dxa"/>
            <w:tcBorders>
              <w:top w:val="single" w:sz="6" w:space="0" w:color="auto"/>
              <w:left w:val="single" w:sz="6" w:space="0" w:color="auto"/>
              <w:bottom w:val="single" w:sz="6" w:space="0" w:color="auto"/>
              <w:right w:val="single" w:sz="6" w:space="0" w:color="auto"/>
            </w:tcBorders>
            <w:shd w:val="clear" w:color="auto" w:fill="auto"/>
            <w:vAlign w:val="center"/>
          </w:tcPr>
          <w:p>
            <w:pPr>
              <w:pStyle w:val="15"/>
              <w:keepNext w:val="0"/>
              <w:keepLines w:val="0"/>
              <w:widowControl/>
              <w:suppressLineNumbers w:val="0"/>
            </w:pPr>
            <w:r>
              <w:rPr>
                <w:rFonts w:ascii="宋体" w:eastAsia="宋体" w:cs="宋体" w:hint="eastAsia"/>
                <w:color w:val="auto"/>
                <w:sz w:val="28"/>
                <w:szCs w:val="28"/>
              </w:rPr>
              <w:t>B类快件报关单</w:t>
            </w:r>
            <w:r>
              <w:rPr>
                <w:rFonts w:ascii="宋体" w:eastAsia="宋体" w:cs="宋体"/>
                <w:b/>
                <w:bCs/>
                <w:color w:val="auto"/>
                <w:sz w:val="28"/>
                <w:szCs w:val="28"/>
              </w:rPr>
              <w:t>（详见附件）</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tcPr>
          <w:p>
            <w:pPr>
              <w:pStyle w:val="15"/>
              <w:keepNext w:val="0"/>
              <w:keepLines w:val="0"/>
              <w:widowControl/>
              <w:suppressLineNumbers w:val="0"/>
            </w:pPr>
            <w:r>
              <w:rPr>
                <w:rFonts w:ascii="宋体" w:eastAsia="宋体" w:cs="宋体" w:hint="eastAsia"/>
                <w:color w:val="auto"/>
                <w:sz w:val="28"/>
                <w:szCs w:val="28"/>
              </w:rPr>
              <w:t>原件</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pPr>
              <w:pStyle w:val="15"/>
              <w:keepNext w:val="0"/>
              <w:keepLines w:val="0"/>
              <w:widowControl/>
              <w:suppressLineNumbers w:val="0"/>
            </w:pPr>
            <w:r>
              <w:rPr>
                <w:rFonts w:ascii="宋体" w:eastAsia="宋体" w:cs="宋体" w:hint="eastAsia"/>
                <w:color w:val="auto"/>
                <w:sz w:val="28"/>
                <w:szCs w:val="28"/>
              </w:rPr>
              <w:t>1</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pPr>
              <w:pStyle w:val="15"/>
              <w:keepNext w:val="0"/>
              <w:keepLines w:val="0"/>
              <w:widowControl/>
              <w:suppressLineNumbers w:val="0"/>
            </w:pPr>
            <w:r>
              <w:rPr>
                <w:rFonts w:ascii="宋体" w:eastAsia="宋体" w:cs="宋体" w:hint="eastAsia"/>
                <w:color w:val="auto"/>
                <w:sz w:val="28"/>
                <w:szCs w:val="28"/>
              </w:rPr>
              <w:t>纸质</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pPr>
              <w:rPr>
                <w:rFonts w:ascii="微软雅黑" w:eastAsia="微软雅黑" w:cs="微软雅黑" w:hint="eastAsia"/>
                <w:color w:val="545454"/>
                <w:sz w:val="21"/>
                <w:szCs w:val="21"/>
              </w:rPr>
            </w:pPr>
          </w:p>
        </w:tc>
      </w:tr>
      <w:tr>
        <w:tc>
          <w:tcPr>
            <w:tcW w:w="720" w:type="dxa"/>
            <w:tcBorders>
              <w:top w:val="single" w:sz="6" w:space="0" w:color="auto"/>
              <w:left w:val="single" w:sz="6" w:space="0" w:color="auto"/>
              <w:bottom w:val="single" w:sz="6" w:space="0" w:color="auto"/>
              <w:right w:val="single" w:sz="6" w:space="0" w:color="auto"/>
            </w:tcBorders>
            <w:shd w:val="clear" w:color="auto" w:fill="auto"/>
            <w:vAlign w:val="center"/>
          </w:tcPr>
          <w:p>
            <w:pPr>
              <w:pStyle w:val="15"/>
              <w:keepNext w:val="0"/>
              <w:keepLines w:val="0"/>
              <w:widowControl/>
              <w:suppressLineNumbers w:val="0"/>
            </w:pPr>
            <w:r>
              <w:rPr>
                <w:rFonts w:ascii="宋体" w:eastAsia="宋体" w:cs="宋体" w:hint="eastAsia"/>
                <w:color w:val="auto"/>
                <w:sz w:val="28"/>
                <w:szCs w:val="28"/>
              </w:rPr>
              <w:t>2</w:t>
            </w:r>
          </w:p>
        </w:tc>
        <w:tc>
          <w:tcPr>
            <w:tcW w:w="4140" w:type="dxa"/>
            <w:tcBorders>
              <w:top w:val="single" w:sz="6" w:space="0" w:color="auto"/>
              <w:left w:val="single" w:sz="6" w:space="0" w:color="auto"/>
              <w:bottom w:val="single" w:sz="6" w:space="0" w:color="auto"/>
              <w:right w:val="single" w:sz="6" w:space="0" w:color="auto"/>
            </w:tcBorders>
            <w:shd w:val="clear" w:color="auto" w:fill="auto"/>
            <w:vAlign w:val="center"/>
          </w:tcPr>
          <w:p>
            <w:pPr>
              <w:pStyle w:val="15"/>
              <w:keepNext w:val="0"/>
              <w:keepLines w:val="0"/>
              <w:widowControl/>
              <w:suppressLineNumbers w:val="0"/>
            </w:pPr>
            <w:r>
              <w:rPr>
                <w:rFonts w:ascii="宋体" w:eastAsia="宋体" w:cs="宋体" w:hint="eastAsia"/>
                <w:color w:val="auto"/>
                <w:sz w:val="28"/>
                <w:szCs w:val="28"/>
              </w:rPr>
              <w:t>每一进出境快件的分运单</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tcPr>
          <w:p>
            <w:pPr>
              <w:pStyle w:val="15"/>
              <w:keepNext w:val="0"/>
              <w:keepLines w:val="0"/>
              <w:widowControl/>
              <w:suppressLineNumbers w:val="0"/>
            </w:pPr>
            <w:r>
              <w:rPr>
                <w:rFonts w:ascii="宋体" w:eastAsia="宋体" w:cs="宋体" w:hint="eastAsia"/>
                <w:color w:val="auto"/>
                <w:sz w:val="28"/>
                <w:szCs w:val="28"/>
              </w:rPr>
              <w:t>原件或复印件</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pPr>
              <w:pStyle w:val="15"/>
              <w:keepNext w:val="0"/>
              <w:keepLines w:val="0"/>
              <w:widowControl/>
              <w:suppressLineNumbers w:val="0"/>
            </w:pPr>
            <w:r>
              <w:rPr>
                <w:rFonts w:ascii="宋体" w:eastAsia="宋体" w:cs="宋体" w:hint="eastAsia"/>
                <w:color w:val="auto"/>
                <w:sz w:val="28"/>
                <w:szCs w:val="28"/>
              </w:rPr>
              <w:t>1</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pPr>
              <w:pStyle w:val="15"/>
              <w:keepNext w:val="0"/>
              <w:keepLines w:val="0"/>
              <w:widowControl/>
              <w:suppressLineNumbers w:val="0"/>
            </w:pPr>
            <w:r>
              <w:rPr>
                <w:rFonts w:ascii="宋体" w:eastAsia="宋体" w:cs="宋体" w:hint="eastAsia"/>
                <w:color w:val="auto"/>
                <w:sz w:val="28"/>
                <w:szCs w:val="28"/>
              </w:rPr>
              <w:t>纸质</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pPr>
              <w:rPr>
                <w:rFonts w:ascii="微软雅黑" w:eastAsia="微软雅黑" w:cs="微软雅黑" w:hint="eastAsia"/>
                <w:color w:val="545454"/>
                <w:sz w:val="21"/>
                <w:szCs w:val="21"/>
              </w:rPr>
            </w:pPr>
          </w:p>
        </w:tc>
      </w:tr>
      <w:tr>
        <w:tc>
          <w:tcPr>
            <w:tcW w:w="720" w:type="dxa"/>
            <w:tcBorders>
              <w:top w:val="single" w:sz="6" w:space="0" w:color="auto"/>
              <w:left w:val="single" w:sz="6" w:space="0" w:color="auto"/>
              <w:bottom w:val="single" w:sz="6" w:space="0" w:color="auto"/>
              <w:right w:val="single" w:sz="6" w:space="0" w:color="auto"/>
            </w:tcBorders>
            <w:shd w:val="clear" w:color="auto" w:fill="auto"/>
            <w:vAlign w:val="center"/>
          </w:tcPr>
          <w:p>
            <w:pPr>
              <w:pStyle w:val="15"/>
              <w:keepNext w:val="0"/>
              <w:keepLines w:val="0"/>
              <w:widowControl/>
              <w:suppressLineNumbers w:val="0"/>
            </w:pPr>
            <w:r>
              <w:rPr>
                <w:rFonts w:ascii="宋体" w:eastAsia="宋体" w:cs="宋体" w:hint="eastAsia"/>
                <w:color w:val="auto"/>
                <w:sz w:val="28"/>
                <w:szCs w:val="28"/>
              </w:rPr>
              <w:t>3</w:t>
            </w:r>
          </w:p>
        </w:tc>
        <w:tc>
          <w:tcPr>
            <w:tcW w:w="4140" w:type="dxa"/>
            <w:tcBorders>
              <w:top w:val="single" w:sz="6" w:space="0" w:color="auto"/>
              <w:left w:val="single" w:sz="6" w:space="0" w:color="auto"/>
              <w:bottom w:val="single" w:sz="6" w:space="0" w:color="auto"/>
              <w:right w:val="single" w:sz="6" w:space="0" w:color="auto"/>
            </w:tcBorders>
            <w:shd w:val="clear" w:color="auto" w:fill="auto"/>
            <w:vAlign w:val="center"/>
          </w:tcPr>
          <w:p>
            <w:pPr>
              <w:pStyle w:val="15"/>
              <w:keepNext w:val="0"/>
              <w:keepLines w:val="0"/>
              <w:widowControl/>
              <w:suppressLineNumbers w:val="0"/>
            </w:pPr>
            <w:r>
              <w:rPr>
                <w:rFonts w:ascii="宋体" w:eastAsia="宋体" w:cs="宋体" w:hint="eastAsia"/>
                <w:color w:val="auto"/>
                <w:sz w:val="28"/>
                <w:szCs w:val="28"/>
              </w:rPr>
              <w:t>进境快件收件人或出境快件发件人身份证影印件</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tcPr>
          <w:p>
            <w:pPr>
              <w:pStyle w:val="15"/>
              <w:keepNext w:val="0"/>
              <w:keepLines w:val="0"/>
              <w:widowControl/>
              <w:suppressLineNumbers w:val="0"/>
            </w:pPr>
            <w:r>
              <w:rPr>
                <w:rFonts w:ascii="宋体" w:eastAsia="宋体" w:cs="宋体" w:hint="eastAsia"/>
                <w:color w:val="auto"/>
                <w:sz w:val="28"/>
                <w:szCs w:val="28"/>
              </w:rPr>
              <w:t>原件</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pPr>
              <w:pStyle w:val="15"/>
              <w:keepNext w:val="0"/>
              <w:keepLines w:val="0"/>
              <w:widowControl/>
              <w:suppressLineNumbers w:val="0"/>
            </w:pPr>
            <w:r>
              <w:rPr>
                <w:rFonts w:ascii="宋体" w:eastAsia="宋体" w:cs="宋体" w:hint="eastAsia"/>
                <w:color w:val="auto"/>
                <w:sz w:val="28"/>
                <w:szCs w:val="28"/>
              </w:rPr>
              <w:t>1</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pPr>
              <w:pStyle w:val="15"/>
              <w:keepNext w:val="0"/>
              <w:keepLines w:val="0"/>
              <w:widowControl/>
              <w:suppressLineNumbers w:val="0"/>
            </w:pPr>
            <w:r>
              <w:rPr>
                <w:rFonts w:ascii="宋体" w:eastAsia="宋体" w:cs="宋体" w:hint="eastAsia"/>
                <w:color w:val="auto"/>
                <w:sz w:val="28"/>
                <w:szCs w:val="28"/>
              </w:rPr>
              <w:t>纸质</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pPr>
              <w:rPr>
                <w:rFonts w:ascii="微软雅黑" w:eastAsia="微软雅黑" w:cs="微软雅黑" w:hint="eastAsia"/>
                <w:color w:val="545454"/>
                <w:sz w:val="21"/>
                <w:szCs w:val="21"/>
              </w:rPr>
            </w:pPr>
          </w:p>
        </w:tc>
      </w:tr>
    </w:tbl>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ind w:left="0" w:right="0"/>
        <w:jc w:val="left"/>
        <w:rPr>
          <w:rFonts w:ascii="宋体" w:eastAsia="宋体" w:cs="宋体" w:hint="eastAsia"/>
          <w:color w:val="545454"/>
          <w:sz w:val="24"/>
          <w:szCs w:val="24"/>
        </w:rPr>
      </w:pPr>
      <w:r>
        <w:rPr>
          <w:rFonts w:ascii="微软雅黑" w:eastAsia="微软雅黑" w:cs="微软雅黑" w:hint="eastAsia"/>
          <w:color w:val="545454"/>
          <w:kern w:val="0"/>
          <w:sz w:val="21"/>
          <w:szCs w:val="21"/>
          <w:lang w:val="en-US" w:eastAsia="zh-CN"/>
        </w:rPr>
        <w:t>若申报需要提供相关证明文件的快件，快件运营人应当向海关提供相关证明。</w:t>
      </w:r>
    </w:p>
    <w:p>
      <w:pPr>
        <w:pStyle w:val="15"/>
        <w:keepNext w:val="0"/>
        <w:keepLines w:val="0"/>
        <w:widowControl/>
        <w:suppressLineNumbers w:val="0"/>
        <w:spacing w:before="0" w:beforeAutospacing="0" w:after="0" w:afterAutospacing="0"/>
        <w:ind w:left="0" w:right="0"/>
      </w:pPr>
      <w:r>
        <w:rPr>
          <w:color w:val="545454"/>
        </w:rPr>
        <w:t>　　十三、办理流程：</w:t>
      </w:r>
    </w:p>
    <w:p>
      <w:pPr>
        <w:pStyle w:val="20"/>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22" w:lineRule="atLeast"/>
        <w:ind w:left="0" w:firstLine="0"/>
        <w:rPr>
          <w:rFonts w:hint="eastAsia"/>
          <w:color w:val="333333"/>
          <w:szCs w:val="24"/>
        </w:rPr>
      </w:pPr>
      <w:r>
        <w:rPr>
          <w:color w:val="545454"/>
        </w:rPr>
        <w:t>   </w:t>
      </w:r>
      <w:r>
        <w:rPr>
          <w:rFonts w:ascii="宋体" w:eastAsia="宋体" w:hint="eastAsia"/>
          <w:b w:val="0"/>
          <w:bCs w:val="0"/>
          <w:i w:val="0"/>
          <w:iCs w:val="0"/>
          <w:caps w:val="0"/>
          <w:smallCaps w:val="0"/>
          <w:strike w:val="0"/>
          <w:dstrike w:val="0"/>
          <w:vanish w:val="0"/>
          <w:color w:val="333333"/>
          <w:spacing w:val="0"/>
          <w:sz w:val="24"/>
          <w:szCs w:val="24"/>
          <w:u w:val="none"/>
        </w:rPr>
        <w:t>用户登录互联网访问中国（云南）国际贸易“单一窗口”（</w:t>
      </w:r>
      <w:r>
        <w:rPr>
          <w:rStyle w:val="21Char"/>
          <w:rFonts w:ascii="宋体" w:eastAsia="宋体" w:hint="eastAsia"/>
          <w:b w:val="0"/>
          <w:bCs w:val="0"/>
          <w:i w:val="0"/>
          <w:iCs w:val="0"/>
          <w:caps w:val="0"/>
          <w:smallCaps w:val="0"/>
          <w:strike w:val="0"/>
          <w:dstrike w:val="0"/>
          <w:vanish w:val="0"/>
          <w:color w:val="333333"/>
          <w:spacing w:val="0"/>
          <w:sz w:val="24"/>
          <w:szCs w:val="24"/>
        </w:rPr>
        <w:fldChar w:fldCharType="begin"/>
      </w:r>
      <w:r>
        <w:instrText>HYPERLINK "http://yn.singlewindow.cn/index.html"</w:instrText>
      </w:r>
      <w:r>
        <w:rPr>
          <w:rStyle w:val="21Char"/>
          <w:rFonts w:ascii="宋体" w:eastAsia="宋体" w:hint="eastAsia"/>
          <w:b w:val="0"/>
          <w:bCs w:val="0"/>
          <w:i w:val="0"/>
          <w:iCs w:val="0"/>
          <w:caps w:val="0"/>
          <w:smallCaps w:val="0"/>
          <w:strike w:val="0"/>
          <w:dstrike w:val="0"/>
          <w:vanish w:val="0"/>
          <w:color w:val="333333"/>
          <w:spacing w:val="0"/>
          <w:sz w:val="24"/>
          <w:szCs w:val="24"/>
        </w:rPr>
        <w:fldChar w:fldCharType="separate"/>
      </w:r>
      <w:r>
        <w:rPr>
          <w:rStyle w:val="21Char"/>
          <w:rFonts w:ascii="宋体" w:eastAsia="宋体" w:hint="eastAsia"/>
          <w:b w:val="0"/>
          <w:bCs w:val="0"/>
          <w:i w:val="0"/>
          <w:iCs w:val="0"/>
          <w:caps w:val="0"/>
          <w:smallCaps w:val="0"/>
          <w:strike w:val="0"/>
          <w:dstrike w:val="0"/>
          <w:vanish w:val="0"/>
          <w:color w:val="333333"/>
          <w:spacing w:val="0"/>
          <w:sz w:val="24"/>
          <w:szCs w:val="24"/>
        </w:rPr>
        <w:t>http://yn.singlewindow.cn/index.html</w:t>
      </w:r>
      <w:r>
        <w:rPr>
          <w:rStyle w:val="21Char"/>
          <w:rFonts w:ascii="宋体" w:eastAsia="宋体" w:hint="eastAsia"/>
          <w:b w:val="0"/>
          <w:bCs w:val="0"/>
          <w:i w:val="0"/>
          <w:iCs w:val="0"/>
          <w:caps w:val="0"/>
          <w:smallCaps w:val="0"/>
          <w:strike w:val="0"/>
          <w:dstrike w:val="0"/>
          <w:vanish w:val="0"/>
          <w:color w:val="333333"/>
          <w:spacing w:val="0"/>
          <w:sz w:val="24"/>
          <w:szCs w:val="24"/>
        </w:rPr>
        <w:fldChar w:fldCharType="end"/>
      </w:r>
      <w:r>
        <w:rPr>
          <w:rFonts w:ascii="宋体" w:eastAsia="宋体" w:hint="eastAsia"/>
          <w:b w:val="0"/>
          <w:bCs w:val="0"/>
          <w:i w:val="0"/>
          <w:iCs w:val="0"/>
          <w:caps w:val="0"/>
          <w:smallCaps w:val="0"/>
          <w:strike w:val="0"/>
          <w:dstrike w:val="0"/>
          <w:vanish w:val="0"/>
          <w:color w:val="333333"/>
          <w:spacing w:val="0"/>
          <w:sz w:val="24"/>
          <w:szCs w:val="24"/>
          <w:u w:val="none"/>
        </w:rPr>
        <w:t>)进入“</w:t>
      </w:r>
      <w:r>
        <w:rPr>
          <w:rFonts w:ascii="宋体" w:eastAsia="宋体"/>
          <w:b w:val="0"/>
          <w:bCs w:val="0"/>
          <w:i w:val="0"/>
          <w:iCs w:val="0"/>
          <w:caps w:val="0"/>
          <w:smallCaps w:val="0"/>
          <w:strike w:val="0"/>
          <w:dstrike w:val="0"/>
          <w:vanish w:val="0"/>
          <w:color w:val="333333"/>
          <w:spacing w:val="0"/>
          <w:sz w:val="24"/>
          <w:szCs w:val="24"/>
          <w:u w:val="none"/>
        </w:rPr>
        <w:t>快件</w:t>
      </w:r>
      <w:r>
        <w:rPr>
          <w:rFonts w:ascii="宋体" w:eastAsia="宋体" w:hint="eastAsia"/>
          <w:b w:val="0"/>
          <w:bCs w:val="0"/>
          <w:i w:val="0"/>
          <w:iCs w:val="0"/>
          <w:caps w:val="0"/>
          <w:smallCaps w:val="0"/>
          <w:strike w:val="0"/>
          <w:dstrike w:val="0"/>
          <w:vanish w:val="0"/>
          <w:color w:val="333333"/>
          <w:spacing w:val="0"/>
          <w:sz w:val="24"/>
          <w:szCs w:val="24"/>
          <w:u w:val="none"/>
        </w:rPr>
        <w:t>申报”模块相关功能进行填制申报。</w:t>
      </w:r>
    </w:p>
    <w:p>
      <w:pPr>
        <w:pStyle w:val="15"/>
        <w:keepNext w:val="0"/>
        <w:keepLines w:val="0"/>
        <w:widowControl/>
        <w:suppressLineNumbers w:val="0"/>
        <w:spacing w:before="0" w:beforeAutospacing="0" w:after="0" w:afterAutospacing="0"/>
        <w:ind w:left="0" w:right="0"/>
        <w:jc w:val="center"/>
        <w:rPr>
          <w:rFonts w:ascii="微软雅黑" w:eastAsia="微软雅黑" w:cs="微软雅黑"/>
          <w:color w:val="545454"/>
          <w:sz w:val="21"/>
          <w:szCs w:val="21"/>
        </w:rPr>
      </w:pPr>
      <w:r>
        <w:rPr>
          <w:rFonts w:ascii="微软雅黑" w:eastAsia="微软雅黑" w:cs="微软雅黑" w:hint="eastAsia"/>
          <w:color w:val="545454"/>
          <w:sz w:val="21"/>
          <w:szCs w:val="21"/>
        </w:rPr>
        <w:drawing>
          <wp:inline distT="0" distB="0" distL="114300" distR="114300">
            <wp:extent cx="5276850" cy="3419475"/>
            <wp:effectExtent l="0" t="0" r="0" b="0"/>
            <wp:docPr id="1" name="图片 1" descr="110503"/>
            <wp:cNvGraphicFramePr>
              <a:graphicFrameLocks noChangeAspect="1"/>
            </wp:cNvGraphicFramePr>
            <a:graphic>
              <a:graphicData uri="http://schemas.openxmlformats.org/drawingml/2006/picture">
                <pic:pic>
                  <pic:nvPicPr>
                    <pic:cNvPr id="3" name="图片 3"/>
                    <pic:cNvPicPr/>
                  </pic:nvPicPr>
                  <pic:blipFill>
                    <a:blip r:embed="rId2"/>
                    <a:stretch>
                      <a:fillRect/>
                    </a:stretch>
                  </pic:blipFill>
                  <pic:spPr>
                    <a:xfrm rot="0">
                      <a:off x="0" y="0"/>
                      <a:ext cx="5276850" cy="3419475"/>
                    </a:xfrm>
                    <a:prstGeom prst="rect"/>
                    <a:noFill/>
                    <a:ln w="9525" cmpd="sng" cap="flat">
                      <a:noFill/>
                      <a:prstDash val="solid"/>
                      <a:round/>
                    </a:ln>
                  </pic:spPr>
                </pic:pic>
              </a:graphicData>
            </a:graphic>
          </wp:inline>
        </w:drawing>
      </w:r>
    </w:p>
    <w:p>
      <w:pPr>
        <w:pStyle w:val="15"/>
        <w:keepNext w:val="0"/>
        <w:keepLines w:val="0"/>
        <w:widowControl/>
        <w:suppressLineNumbers w:val="0"/>
        <w:spacing w:before="0" w:beforeAutospacing="0" w:after="0" w:afterAutospacing="0"/>
        <w:ind w:left="0" w:right="0"/>
      </w:pPr>
      <w:r>
        <w:rPr>
          <w:color w:val="545454"/>
        </w:rPr>
        <w:t>　　十四、办理形式：国际快件监管中心现场办理</w:t>
      </w:r>
    </w:p>
    <w:p>
      <w:pPr>
        <w:pStyle w:val="15"/>
        <w:keepNext w:val="0"/>
        <w:keepLines w:val="0"/>
        <w:widowControl/>
        <w:suppressLineNumbers w:val="0"/>
        <w:spacing w:before="0" w:beforeAutospacing="0" w:after="0" w:afterAutospacing="0"/>
        <w:ind w:left="0" w:right="0"/>
      </w:pPr>
      <w:r>
        <w:rPr>
          <w:color w:val="545454"/>
        </w:rPr>
        <w:t>　　十五、到办理现场次数：1次</w:t>
      </w:r>
    </w:p>
    <w:p>
      <w:pPr>
        <w:pStyle w:val="15"/>
        <w:keepNext w:val="0"/>
        <w:keepLines w:val="0"/>
        <w:widowControl/>
        <w:suppressLineNumbers w:val="0"/>
        <w:spacing w:before="0" w:beforeAutospacing="0" w:after="0" w:afterAutospacing="0"/>
        <w:ind w:left="0" w:right="0"/>
      </w:pPr>
      <w:r>
        <w:rPr>
          <w:color w:val="545454"/>
        </w:rPr>
        <w:t>　　十六、审查标准：</w:t>
      </w:r>
    </w:p>
    <w:p>
      <w:pPr>
        <w:pStyle w:val="15"/>
        <w:keepNext w:val="0"/>
        <w:keepLines w:val="0"/>
        <w:widowControl/>
        <w:suppressLineNumbers w:val="0"/>
        <w:spacing w:before="0" w:beforeAutospacing="0" w:after="0" w:afterAutospacing="0"/>
        <w:ind w:left="0" w:right="0"/>
      </w:pPr>
      <w:r>
        <w:rPr>
          <w:color w:val="545454"/>
        </w:rPr>
        <w:t>　　审核申报是否符合规范申报要求，申报内容是否真实、合理，审核快件纸质报关单及其随附单证是否齐全、有效，各种单据之间，电子数据与纸质单证之间是否相符；对个人物品类快件，验核进境快件收件人或出境快件发件人身份证影印件。开箱查验，核对快件报关单数据、分运单、发票、装箱单与实际货物或物品是否单单、单货相符，核实快件分类是否准确。</w:t>
      </w:r>
    </w:p>
    <w:p>
      <w:pPr>
        <w:pStyle w:val="15"/>
        <w:keepNext w:val="0"/>
        <w:keepLines w:val="0"/>
        <w:widowControl/>
        <w:suppressLineNumbers w:val="0"/>
        <w:spacing w:before="0" w:beforeAutospacing="0" w:after="0" w:afterAutospacing="0"/>
        <w:ind w:left="0" w:right="0"/>
      </w:pPr>
      <w:r>
        <w:rPr>
          <w:color w:val="545454"/>
        </w:rPr>
        <w:t>　　十七、通办范围：国际快件监管中心现场办理</w:t>
      </w:r>
    </w:p>
    <w:p>
      <w:pPr>
        <w:pStyle w:val="15"/>
        <w:keepNext w:val="0"/>
        <w:keepLines w:val="0"/>
        <w:widowControl/>
        <w:suppressLineNumbers w:val="0"/>
        <w:spacing w:before="0" w:beforeAutospacing="0" w:after="0" w:afterAutospacing="0"/>
        <w:ind w:left="0" w:right="0"/>
      </w:pPr>
      <w:r>
        <w:rPr>
          <w:color w:val="545454"/>
        </w:rPr>
        <w:t>　　十八、预约办理：否</w:t>
      </w:r>
    </w:p>
    <w:p>
      <w:pPr>
        <w:pStyle w:val="15"/>
        <w:keepNext w:val="0"/>
        <w:keepLines w:val="0"/>
        <w:widowControl/>
        <w:suppressLineNumbers w:val="0"/>
        <w:spacing w:before="0" w:beforeAutospacing="0" w:after="0" w:afterAutospacing="0"/>
        <w:ind w:left="0" w:right="0"/>
      </w:pPr>
      <w:r>
        <w:rPr>
          <w:color w:val="545454"/>
        </w:rPr>
        <w:t>　　十九、网上支付：否</w:t>
      </w:r>
    </w:p>
    <w:p>
      <w:pPr>
        <w:pStyle w:val="15"/>
        <w:keepNext w:val="0"/>
        <w:keepLines w:val="0"/>
        <w:widowControl/>
        <w:suppressLineNumbers w:val="0"/>
        <w:spacing w:before="0" w:beforeAutospacing="0" w:after="0" w:afterAutospacing="0"/>
        <w:ind w:left="0" w:right="0"/>
      </w:pPr>
      <w:r>
        <w:rPr>
          <w:color w:val="545454"/>
        </w:rPr>
        <w:t>　　二十、物流快递：无</w:t>
      </w:r>
    </w:p>
    <w:p>
      <w:pPr>
        <w:pStyle w:val="15"/>
        <w:keepNext w:val="0"/>
        <w:keepLines w:val="0"/>
        <w:widowControl/>
        <w:suppressLineNumbers w:val="0"/>
        <w:spacing w:before="0" w:beforeAutospacing="0" w:after="0" w:afterAutospacing="0"/>
        <w:ind w:left="0" w:right="0"/>
      </w:pPr>
      <w:r>
        <w:rPr>
          <w:color w:val="545454"/>
        </w:rPr>
        <w:t>　　二十一、办理地点：昆明国际快件监管中心（云南省昆明市长水国际机场内）、勐腊县磨憨口岸国际快件监管中心（云南省西双版纳州勐腊县东盟大道）</w:t>
      </w:r>
    </w:p>
    <w:p>
      <w:pPr>
        <w:pStyle w:val="15"/>
        <w:keepNext w:val="0"/>
        <w:keepLines w:val="0"/>
        <w:widowControl/>
        <w:suppressLineNumbers w:val="0"/>
        <w:spacing w:before="0" w:beforeAutospacing="0" w:after="0" w:afterAutospacing="0"/>
        <w:ind w:left="0" w:right="0"/>
      </w:pPr>
      <w:r>
        <w:rPr>
          <w:color w:val="545454"/>
        </w:rPr>
        <w:t>　　二十二、办理时间：</w:t>
      </w:r>
    </w:p>
    <w:p>
      <w:pPr>
        <w:pStyle w:val="15"/>
        <w:keepNext w:val="0"/>
        <w:keepLines w:val="0"/>
        <w:widowControl/>
        <w:suppressLineNumbers w:val="0"/>
        <w:spacing w:before="0" w:beforeAutospacing="0" w:after="0" w:afterAutospacing="0"/>
        <w:ind w:left="0" w:right="0"/>
      </w:pPr>
      <w:r>
        <w:rPr>
          <w:color w:val="545454"/>
        </w:rPr>
        <w:t>　　昆明国际快件监管中心9：00-11：30，14：00-16：30；</w:t>
      </w:r>
    </w:p>
    <w:p>
      <w:pPr>
        <w:pStyle w:val="15"/>
        <w:keepNext w:val="0"/>
        <w:keepLines w:val="0"/>
        <w:widowControl/>
        <w:suppressLineNumbers w:val="0"/>
        <w:spacing w:before="0" w:beforeAutospacing="0" w:after="0" w:afterAutospacing="0"/>
        <w:ind w:left="0" w:right="0"/>
      </w:pPr>
      <w:r>
        <w:rPr>
          <w:color w:val="545454"/>
        </w:rPr>
        <w:t>　　磨憨口岸国际快件监管中心8：30-12：00，14：30-17：30</w:t>
      </w:r>
    </w:p>
    <w:p>
      <w:pPr>
        <w:pStyle w:val="15"/>
        <w:keepNext w:val="0"/>
        <w:keepLines w:val="0"/>
        <w:widowControl/>
        <w:suppressLineNumbers w:val="0"/>
        <w:spacing w:before="0" w:beforeAutospacing="0" w:after="0" w:afterAutospacing="0"/>
        <w:ind w:left="0" w:right="0"/>
      </w:pPr>
      <w:r>
        <w:rPr>
          <w:color w:val="545454"/>
        </w:rPr>
        <w:t>　　二十三、咨询电话：</w:t>
      </w:r>
    </w:p>
    <w:p>
      <w:pPr>
        <w:pStyle w:val="15"/>
        <w:keepNext w:val="0"/>
        <w:keepLines w:val="0"/>
        <w:widowControl/>
        <w:suppressLineNumbers w:val="0"/>
        <w:spacing w:before="0" w:beforeAutospacing="0" w:after="0" w:afterAutospacing="0"/>
        <w:ind w:left="0" w:right="0"/>
      </w:pPr>
      <w:r>
        <w:rPr>
          <w:color w:val="545454"/>
        </w:rPr>
        <w:t>       昆明海关门户网站查询网址</w:t>
      </w:r>
      <w:r>
        <w:rPr>
          <w:rStyle w:val="17"/>
          <w:rFonts w:ascii="微软雅黑" w:eastAsia="微软雅黑" w:cs="微软雅黑" w:hint="eastAsia"/>
          <w:color w:val="333333"/>
          <w:sz w:val="21"/>
          <w:szCs w:val="21"/>
          <w:u w:val="none"/>
        </w:rPr>
        <w:fldChar w:fldCharType="begin"/>
      </w:r>
      <w:r>
        <w:instrText>HYPERLINK "http://kunming.customs.gov.cn/kunming_customs/611293/611297/611298/index.html"</w:instrText>
      </w:r>
      <w:r>
        <w:rPr>
          <w:rStyle w:val="17"/>
          <w:rFonts w:ascii="微软雅黑" w:eastAsia="微软雅黑" w:cs="微软雅黑" w:hint="eastAsia"/>
          <w:color w:val="333333"/>
          <w:sz w:val="21"/>
          <w:szCs w:val="21"/>
          <w:u w:val="none"/>
        </w:rPr>
        <w:fldChar w:fldCharType="separate"/>
      </w:r>
      <w:r>
        <w:rPr>
          <w:rStyle w:val="17"/>
          <w:rFonts w:ascii="微软雅黑" w:eastAsia="微软雅黑" w:cs="微软雅黑" w:hint="eastAsia"/>
          <w:color w:val="333333"/>
          <w:sz w:val="21"/>
          <w:szCs w:val="21"/>
          <w:u w:val="none"/>
        </w:rPr>
        <w:t>http://kunming.customs.gov.cn/kunming_customs/611293/611297/611298/index.html</w:t>
      </w:r>
      <w:r>
        <w:rPr>
          <w:rStyle w:val="17"/>
          <w:rFonts w:ascii="微软雅黑" w:eastAsia="微软雅黑" w:cs="微软雅黑" w:hint="eastAsia"/>
          <w:color w:val="333333"/>
          <w:sz w:val="21"/>
          <w:szCs w:val="21"/>
          <w:u w:val="none"/>
        </w:rPr>
        <w:fldChar w:fldCharType="end"/>
      </w:r>
      <w:r>
        <w:rPr>
          <w:color w:val="545454"/>
        </w:rPr>
        <w:t> 或12360海关服务热线。</w:t>
      </w:r>
    </w:p>
    <w:p>
      <w:pPr>
        <w:pStyle w:val="15"/>
        <w:keepNext w:val="0"/>
        <w:keepLines w:val="0"/>
        <w:widowControl/>
        <w:suppressLineNumbers w:val="0"/>
        <w:spacing w:before="0" w:beforeAutospacing="0" w:after="0" w:afterAutospacing="0"/>
        <w:ind w:left="0" w:right="0"/>
      </w:pPr>
      <w:r>
        <w:rPr>
          <w:color w:val="545454"/>
        </w:rPr>
        <w:t>　　二十四、监督电话：</w:t>
      </w:r>
    </w:p>
    <w:p>
      <w:pPr>
        <w:pStyle w:val="15"/>
        <w:keepNext w:val="0"/>
        <w:keepLines w:val="0"/>
        <w:widowControl/>
        <w:suppressLineNumbers w:val="0"/>
        <w:spacing w:before="0" w:beforeAutospacing="0" w:after="0" w:afterAutospacing="0"/>
        <w:ind w:left="0" w:right="0"/>
      </w:pPr>
      <w:r>
        <w:rPr>
          <w:color w:val="545454"/>
        </w:rPr>
        <w:t>       昆明海关门户网站查询网址</w:t>
      </w:r>
      <w:r>
        <w:rPr>
          <w:rStyle w:val="17"/>
          <w:rFonts w:ascii="微软雅黑" w:eastAsia="微软雅黑" w:cs="微软雅黑" w:hint="eastAsia"/>
          <w:color w:val="333333"/>
          <w:sz w:val="21"/>
          <w:szCs w:val="21"/>
          <w:u w:val="none"/>
        </w:rPr>
        <w:fldChar w:fldCharType="begin"/>
      </w:r>
      <w:r>
        <w:instrText>HYPERLINK "http://kunming.customs.gov.cn/kunming_customs/611293/611297/611298/index.html"</w:instrText>
      </w:r>
      <w:r>
        <w:rPr>
          <w:rStyle w:val="17"/>
          <w:rFonts w:ascii="微软雅黑" w:eastAsia="微软雅黑" w:cs="微软雅黑" w:hint="eastAsia"/>
          <w:color w:val="333333"/>
          <w:sz w:val="21"/>
          <w:szCs w:val="21"/>
          <w:u w:val="none"/>
        </w:rPr>
        <w:fldChar w:fldCharType="separate"/>
      </w:r>
      <w:r>
        <w:rPr>
          <w:rStyle w:val="17"/>
          <w:rFonts w:ascii="微软雅黑" w:eastAsia="微软雅黑" w:cs="微软雅黑" w:hint="eastAsia"/>
          <w:color w:val="333333"/>
          <w:sz w:val="21"/>
          <w:szCs w:val="21"/>
          <w:u w:val="none"/>
        </w:rPr>
        <w:t>http://kunming.customs.gov.cn/kunming_customs/611293/611297/611298/index.html</w:t>
      </w:r>
      <w:r>
        <w:rPr>
          <w:rStyle w:val="17"/>
          <w:rFonts w:ascii="微软雅黑" w:eastAsia="微软雅黑" w:cs="微软雅黑" w:hint="eastAsia"/>
          <w:color w:val="333333"/>
          <w:sz w:val="21"/>
          <w:szCs w:val="21"/>
          <w:u w:val="none"/>
        </w:rPr>
        <w:fldChar w:fldCharType="end"/>
      </w:r>
      <w:r>
        <w:rPr>
          <w:color w:val="545454"/>
        </w:rPr>
        <w:t> 或12360海关服务热线。</w:t>
      </w:r>
    </w:p>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微软雅黑">
    <w:panose1 w:val="020B0503020204020204"/>
    <w:charset w:val="86"/>
    <w:family w:val="auto"/>
    <w:pitch w:val="variable"/>
    <w:sig w:usb0="80000287" w:usb1="280F3C52" w:usb2="00000016" w:usb3="00000000" w:csb0="0004001F" w:csb1="00000000"/>
  </w:font>
  <w:font w:name="Times New Roman">
    <w:panose1 w:val="02020603050405020304"/>
    <w:charset w:val="00"/>
    <w:family w:val="roman"/>
    <w:pitch w:val="variable"/>
    <w:sig w:usb0="20007A87" w:usb1="80000000" w:usb2="00000008" w:usb3="00000000" w:csb0="000001FF" w:csb1="00000000"/>
  </w:font>
  <w:font w:name="Calibri">
    <w:panose1 w:val="020F0502020204030204"/>
    <w:charset w:val="00"/>
    <w:family w:val="swiss"/>
    <w:pitch w:val="variable"/>
    <w:sig w:usb0="E00002FF" w:usb1="4000ACFF" w:usb2="00000001" w:usb3="00000000" w:csb0="2000019F" w:csb1="00000000"/>
  </w:font>
  <w:font w:name="Arial">
    <w:panose1 w:val="020B0604020202020204"/>
    <w:charset w:val="01"/>
    <w:family w:val="swiss"/>
    <w:pitch w:val="variable"/>
    <w:sig w:usb0="E0002AFF" w:usb1="C0007843" w:usb2="00000009"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character" w:default="1" w:styleId="10">
    <w:name w:val="Default Paragraph Font"/>
  </w:style>
  <w:style w:type="paragraph" w:styleId="15">
    <w:name w:val="Normal (Web)"/>
    <w:basedOn w:val="0"/>
    <w:pPr>
      <w:pBdr>
        <w:top w:val="none" w:sz="0" w:space="0" w:color="auto"/>
        <w:left w:val="none" w:sz="0" w:space="0" w:color="auto"/>
        <w:bottom w:val="none" w:sz="0" w:space="0" w:color="auto"/>
        <w:right w:val="none" w:sz="0" w:space="0" w:color="auto"/>
      </w:pBdr>
      <w:spacing w:before="0" w:beforeAutospacing="0" w:after="0" w:afterAutospacing="0"/>
      <w:ind w:left="0" w:right="0"/>
      <w:jc w:val="left"/>
    </w:pPr>
    <w:rPr>
      <w:rFonts w:ascii="微软雅黑" w:eastAsia="微软雅黑" w:cs="微软雅黑"/>
      <w:kern w:val="0"/>
      <w:sz w:val="21"/>
      <w:szCs w:val="21"/>
      <w:lang w:val="en-US" w:eastAsia="zh-CN"/>
    </w:rPr>
  </w:style>
  <w:style w:type="character" w:styleId="16">
    <w:name w:val="FollowedHyperlink"/>
    <w:basedOn w:val="10"/>
    <w:rPr>
      <w:rFonts w:ascii="微软雅黑" w:eastAsia="微软雅黑" w:cs="微软雅黑"/>
      <w:color w:val="333333"/>
      <w:sz w:val="21"/>
      <w:szCs w:val="21"/>
      <w:u w:val="none"/>
    </w:rPr>
  </w:style>
  <w:style w:type="character" w:styleId="17">
    <w:name w:val="Hyperlink"/>
    <w:basedOn w:val="10"/>
    <w:rPr>
      <w:rFonts w:ascii="微软雅黑" w:eastAsia="微软雅黑" w:cs="微软雅黑"/>
      <w:color w:val="333333"/>
      <w:sz w:val="21"/>
      <w:szCs w:val="21"/>
      <w:u w:val="none"/>
    </w:rPr>
  </w:style>
  <w:style w:type="paragraph" w:styleId="18">
    <w:name w:val="E-mail Signature"/>
    <w:basedOn w:val="0"/>
  </w:style>
  <w:style w:type="paragraph" w:customStyle="1" w:styleId="19">
    <w:name w:val="样式 10 磅"/>
    <w:pPr>
      <w:widowControl w:val="0"/>
      <w:pBdr>
        <w:top w:val="none" w:sz="0" w:space="0" w:color="auto"/>
        <w:left w:val="none" w:sz="0" w:space="0" w:color="auto"/>
        <w:bottom w:val="none" w:sz="0" w:space="0" w:color="auto"/>
        <w:right w:val="none" w:sz="0" w:space="0" w:color="auto"/>
      </w:pBdr>
      <w:spacing w:before="0" w:beforeAutospacing="0" w:after="0" w:afterAutospacing="0"/>
      <w:ind w:left="0" w:right="0"/>
      <w:jc w:val="left"/>
    </w:pPr>
    <w:rPr>
      <w:rFonts w:ascii="微软雅黑" w:eastAsia="微软雅黑" w:cs="微软雅黑"/>
      <w:kern w:val="0"/>
      <w:sz w:val="21"/>
      <w:szCs w:val="21"/>
      <w:lang w:val="en-US" w:eastAsia="zh-CN" w:bidi="ar-SA"/>
    </w:rPr>
  </w:style>
  <w:style w:type="paragraph" w:customStyle="1" w:styleId="20">
    <w:name w:val="样式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1">
    <w:name w:val="样式 "/>
    <w:link w:val="21Char"/>
    <w:rPr>
      <w:rFonts w:ascii="Times New Roman" w:eastAsia="宋体" w:cs="Times New Roman" w:hAnsi="Times New Roman"/>
      <w:color w:val="0000FF"/>
      <w:u w:val="single"/>
      <w:lang w:val="en-US" w:eastAsia="zh-CN" w:bidi="ar-SA"/>
    </w:rPr>
  </w:style>
  <w:style w:type="character" w:customStyle="1" w:styleId="21Char">
    <w:name w:val="样式  Char"/>
    <w:basedOn w:val="10"/>
    <w:link w:val="21"/>
    <w:rPr>
      <w:rFonts w:ascii="Times New Roman" w:eastAsia="宋体" w:cs="Times New Roman" w:hAnsi="Times New Roman"/>
      <w:color w:val="0000FF"/>
      <w:u w:val="single"/>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jpeg"/><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26</TotalTime>
  <Application>Yozo_Office</Application>
  <Pages>1</Pages>
  <Words>6</Words>
  <Characters>6</Characters>
  <Lines>1</Lines>
  <Paragraphs>0</Paragraphs>
  <CharactersWithSpaces>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杨坤</dc:creator>
  <cp:lastModifiedBy>何立</cp:lastModifiedBy>
  <cp:revision>1</cp:revision>
  <dcterms:created xsi:type="dcterms:W3CDTF">2020-07-06T01:31:00Z</dcterms:created>
  <dcterms:modified xsi:type="dcterms:W3CDTF">2021-06-18T03:18:58Z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2052-11.1.0.9740</vt:lpwstr>
  </property>
</Properties>
</file>