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rPr>
          <w:rFonts w:ascii="方正黑体_GBK" w:eastAsia="方正黑体_GBK"/>
          <w:sz w:val="32"/>
          <w:szCs w:val="32"/>
        </w:rPr>
      </w:pPr>
      <w:bookmarkStart w:id="0" w:name="_GoBack"/>
      <w:bookmarkEnd w:id="0"/>
      <w:r>
        <w:rPr>
          <w:rFonts w:ascii="方正黑体_GBK" w:eastAsia="方正黑体_GBK"/>
          <w:sz w:val="32"/>
          <w:szCs w:val="32"/>
        </w:rPr>
        <w:t>附件2</w:t>
      </w:r>
    </w:p>
    <w:p>
      <w:pPr>
        <w:spacing w:line="560" w:lineRule="exact"/>
        <w:rPr>
          <w:rFonts w:ascii="方正黑体_GBK" w:eastAsia="方正黑体_GBK" w:hint="eastAsia"/>
          <w:sz w:val="32"/>
          <w:szCs w:val="32"/>
        </w:rPr>
      </w:pPr>
    </w:p>
    <w:p>
      <w:pPr>
        <w:spacing w:line="64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hint="eastAsia"/>
          <w:sz w:val="44"/>
          <w:szCs w:val="44"/>
        </w:rPr>
        <w:t>昆明海关境</w:t>
      </w:r>
      <w:r>
        <w:rPr>
          <w:rFonts w:ascii="Times New Roman" w:eastAsia="方正小标宋_GBK" w:cs="Times New Roman" w:hAnsi="Times New Roman"/>
          <w:sz w:val="44"/>
          <w:szCs w:val="44"/>
        </w:rPr>
        <w:t>外罂粟替代种植返销国内</w:t>
      </w:r>
    </w:p>
    <w:p>
      <w:pPr>
        <w:spacing w:line="64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农产品检疫</w:t>
      </w:r>
      <w:r>
        <w:rPr>
          <w:rFonts w:ascii="Times New Roman" w:eastAsia="方正小标宋_GBK" w:cs="Times New Roman" w:hAnsi="Times New Roman" w:hint="eastAsia"/>
          <w:sz w:val="44"/>
          <w:szCs w:val="44"/>
        </w:rPr>
        <w:t>审批管理规定</w:t>
      </w:r>
      <w:r>
        <w:rPr>
          <w:rFonts w:ascii="Times New Roman" w:eastAsia="方正小标宋_GBK" w:cs="Times New Roman" w:hAnsi="Times New Roman"/>
          <w:sz w:val="44"/>
          <w:szCs w:val="44"/>
        </w:rPr>
        <w:t>（摘要）</w:t>
      </w:r>
    </w:p>
    <w:p>
      <w:pPr>
        <w:spacing w:line="560" w:lineRule="exact"/>
        <w:rPr>
          <w:rFonts w:ascii="Times New Roman" w:eastAsia="方正仿宋_GBK" w:cs="Times New Roman" w:hAnsi="Times New Roman"/>
          <w:sz w:val="32"/>
          <w:szCs w:val="32"/>
        </w:rPr>
      </w:pPr>
    </w:p>
    <w:p>
      <w:pPr>
        <w:spacing w:line="56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一、审批机关</w:t>
      </w:r>
    </w:p>
    <w:p>
      <w:pPr>
        <w:spacing w:line="560" w:lineRule="exact"/>
        <w:ind w:firstLineChars="200" w:firstLine="640"/>
        <w:rPr>
          <w:rFonts w:ascii="Times New Roman" w:eastAsia="方正黑体_GBK" w:cs="Times New Roman" w:hAnsi="Times New Roman"/>
          <w:sz w:val="32"/>
          <w:szCs w:val="32"/>
        </w:rPr>
      </w:pPr>
      <w:r>
        <w:rPr>
          <w:rFonts w:ascii="Times New Roman" w:eastAsia="方正仿宋_GBK" w:cs="Times New Roman" w:hAnsi="Times New Roman"/>
          <w:sz w:val="32"/>
          <w:szCs w:val="32"/>
        </w:rPr>
        <w:t>海关总署负责境外</w:t>
      </w:r>
      <w:r>
        <w:rPr>
          <w:rFonts w:ascii="Times New Roman" w:eastAsia="方正仿宋_GBK" w:cs="Times New Roman" w:hAnsi="Times New Roman" w:hint="eastAsia"/>
          <w:sz w:val="32"/>
          <w:szCs w:val="32"/>
        </w:rPr>
        <w:t>罂粟</w:t>
      </w:r>
      <w:r>
        <w:rPr>
          <w:rFonts w:ascii="Times New Roman" w:eastAsia="方正仿宋_GBK" w:cs="Times New Roman" w:hAnsi="Times New Roman"/>
          <w:sz w:val="32"/>
          <w:szCs w:val="32"/>
        </w:rPr>
        <w:t>替代种植返销国内农产品</w:t>
      </w:r>
      <w:r>
        <w:rPr>
          <w:rFonts w:ascii="Times New Roman" w:eastAsia="方正仿宋_GBK" w:cs="Times New Roman" w:hAnsi="Times New Roman" w:hint="eastAsia"/>
          <w:sz w:val="32"/>
          <w:szCs w:val="32"/>
        </w:rPr>
        <w:t>（以下简称“返销农产品”）</w:t>
      </w:r>
      <w:r>
        <w:rPr>
          <w:rFonts w:ascii="Times New Roman" w:eastAsia="方正仿宋_GBK" w:cs="Times New Roman" w:hAnsi="Times New Roman"/>
          <w:sz w:val="32"/>
          <w:szCs w:val="32"/>
        </w:rPr>
        <w:t>检疫许可监督管理工作，委托昆明海关具体</w:t>
      </w:r>
      <w:r>
        <w:rPr>
          <w:rFonts w:ascii="Times New Roman" w:eastAsia="方正仿宋_GBK" w:cs="Times New Roman" w:hAnsi="Times New Roman" w:hint="eastAsia"/>
          <w:sz w:val="32"/>
          <w:szCs w:val="32"/>
        </w:rPr>
        <w:t>负责该</w:t>
      </w:r>
      <w:r>
        <w:rPr>
          <w:rFonts w:ascii="Times New Roman" w:eastAsia="方正仿宋_GBK" w:cs="Times New Roman" w:hAnsi="Times New Roman"/>
          <w:sz w:val="32"/>
          <w:szCs w:val="32"/>
        </w:rPr>
        <w:t>项检疫审批工作。</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二、审批范围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本项目适用于从缅甸、老挝进境的需要事先办理检疫审批的</w:t>
      </w:r>
      <w:r>
        <w:rPr>
          <w:rFonts w:ascii="Times New Roman" w:eastAsia="方正仿宋_GBK" w:cs="Times New Roman" w:hAnsi="Times New Roman" w:hint="eastAsia"/>
          <w:sz w:val="32"/>
          <w:szCs w:val="32"/>
        </w:rPr>
        <w:t>返销农产品</w:t>
      </w:r>
      <w:r>
        <w:rPr>
          <w:rFonts w:ascii="Times New Roman" w:eastAsia="方正仿宋_GBK" w:cs="Times New Roman" w:hAnsi="Times New Roman"/>
          <w:sz w:val="32"/>
          <w:szCs w:val="32"/>
        </w:rPr>
        <w:t>，具体包括列入《中华人民共和国进出境动植物检疫法》及其实施条例</w:t>
      </w:r>
      <w:r>
        <w:rPr>
          <w:rFonts w:ascii="Times New Roman" w:eastAsia="方正仿宋_GBK" w:cs="Times New Roman" w:hAnsi="Times New Roman" w:hint="eastAsia"/>
          <w:sz w:val="32"/>
          <w:szCs w:val="32"/>
        </w:rPr>
        <w:t>和</w:t>
      </w:r>
      <w:r>
        <w:rPr>
          <w:rFonts w:ascii="Times New Roman" w:eastAsia="方正仿宋_GBK" w:cs="Times New Roman" w:hAnsi="Times New Roman"/>
          <w:sz w:val="32"/>
          <w:szCs w:val="32"/>
        </w:rPr>
        <w:t>国家有关规定需要进境检疫审批的、</w:t>
      </w:r>
      <w:r>
        <w:rPr>
          <w:rFonts w:ascii="Times New Roman" w:eastAsia="方正仿宋_GBK" w:cs="Times New Roman" w:hAnsi="Times New Roman" w:hint="eastAsia"/>
          <w:sz w:val="32"/>
          <w:szCs w:val="32"/>
        </w:rPr>
        <w:t>并且已列入国务院核准的境外罂粟替代种植产品名录内</w:t>
      </w:r>
      <w:r>
        <w:rPr>
          <w:rFonts w:ascii="Times New Roman" w:eastAsia="方正仿宋_GBK" w:cs="Times New Roman" w:hAnsi="Times New Roman"/>
          <w:sz w:val="32"/>
          <w:szCs w:val="32"/>
        </w:rPr>
        <w:t>的粮谷类、豆类、</w:t>
      </w:r>
      <w:r>
        <w:rPr>
          <w:rFonts w:ascii="Times New Roman" w:eastAsia="方正仿宋_GBK" w:cs="Times New Roman" w:hAnsi="Times New Roman" w:hint="eastAsia"/>
          <w:sz w:val="32"/>
          <w:szCs w:val="32"/>
        </w:rPr>
        <w:t>水果、蔬菜、</w:t>
      </w:r>
      <w:r>
        <w:rPr>
          <w:rFonts w:ascii="Times New Roman" w:eastAsia="方正仿宋_GBK" w:cs="Times New Roman" w:hAnsi="Times New Roman"/>
          <w:sz w:val="32"/>
          <w:szCs w:val="32"/>
        </w:rPr>
        <w:t xml:space="preserve">饲料类、薯类等植物产品。 </w:t>
      </w:r>
    </w:p>
    <w:p>
      <w:pPr>
        <w:spacing w:line="560" w:lineRule="exact"/>
        <w:ind w:firstLineChars="200" w:firstLine="640"/>
        <w:rPr>
          <w:rFonts w:ascii="Times New Roman" w:eastAsia="方正黑体_GBK" w:cs="Times New Roman" w:hAnsi="Times New Roman"/>
          <w:color w:val="FF0000"/>
          <w:sz w:val="32"/>
          <w:szCs w:val="32"/>
        </w:rPr>
      </w:pPr>
      <w:r>
        <w:rPr>
          <w:rFonts w:ascii="Times New Roman" w:eastAsia="方正黑体_GBK" w:cs="Times New Roman" w:hAnsi="Times New Roman"/>
          <w:sz w:val="32"/>
          <w:szCs w:val="32"/>
        </w:rPr>
        <w:t>三、审批程序</w:t>
      </w:r>
    </w:p>
    <w:p>
      <w:pPr>
        <w:spacing w:line="560" w:lineRule="exact"/>
        <w:ind w:firstLineChars="200" w:firstLine="640"/>
        <w:rPr>
          <w:rFonts w:ascii="方正楷体_GBK" w:eastAsia="方正楷体_GBK" w:cs="Times New Roman" w:hint="eastAsia"/>
          <w:b/>
          <w:bCs/>
          <w:sz w:val="32"/>
          <w:szCs w:val="32"/>
        </w:rPr>
      </w:pPr>
      <w:r>
        <w:rPr>
          <w:rFonts w:ascii="方正楷体_GBK" w:eastAsia="方正楷体_GBK" w:cs="方正楷体_GBK" w:hint="eastAsia"/>
          <w:b/>
          <w:bCs/>
          <w:sz w:val="32"/>
          <w:szCs w:val="32"/>
        </w:rPr>
        <w:t>（一）申请</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1．申请办理检疫审批手续的</w:t>
      </w:r>
      <w:r>
        <w:rPr>
          <w:rFonts w:ascii="方正仿宋_GBK" w:eastAsia="方正仿宋_GBK" w:cs="Times New Roman" w:hint="eastAsia"/>
          <w:sz w:val="32"/>
          <w:szCs w:val="32"/>
          <w:lang w:val="en-US" w:eastAsia="zh-CN"/>
        </w:rPr>
        <w:t>从事境外罂粟替代种植返销国内农产品的企业（以下简称“企业”）</w:t>
      </w:r>
      <w:r>
        <w:rPr>
          <w:rFonts w:ascii="Times New Roman" w:eastAsia="方正仿宋_GBK" w:cs="Times New Roman" w:hAnsi="Times New Roman"/>
          <w:sz w:val="32"/>
          <w:szCs w:val="32"/>
        </w:rPr>
        <w:t>应当是具有独立法人资格并直接对外签订贸易合同或者协议、并且获得了《境外罂粟替代种植企业证书》和《云南省境外罂粟替代种植返销国内产品进口批准证》的单位。</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申请企业应当在对外签订合同或协议前，</w:t>
      </w:r>
      <w:r>
        <w:rPr>
          <w:rFonts w:ascii="Times New Roman" w:eastAsia="方正仿宋_GBK" w:cs="Times New Roman" w:hAnsi="Times New Roman" w:hint="eastAsia"/>
          <w:sz w:val="32"/>
          <w:szCs w:val="32"/>
        </w:rPr>
        <w:t>向</w:t>
      </w:r>
      <w:r>
        <w:rPr>
          <w:rFonts w:ascii="Times New Roman" w:eastAsia="方正仿宋_GBK" w:cs="Times New Roman" w:hAnsi="Times New Roman"/>
          <w:sz w:val="32"/>
          <w:szCs w:val="32"/>
        </w:rPr>
        <w:t>昆明海关</w:t>
      </w:r>
      <w:r>
        <w:rPr>
          <w:rFonts w:ascii="Times New Roman" w:eastAsia="方正仿宋_GBK" w:cs="Times New Roman" w:hAnsi="Times New Roman" w:hint="eastAsia"/>
          <w:sz w:val="32"/>
          <w:szCs w:val="32"/>
        </w:rPr>
        <w:t>提出申请并</w:t>
      </w:r>
      <w:r>
        <w:rPr>
          <w:rFonts w:ascii="Times New Roman" w:eastAsia="方正仿宋_GBK" w:cs="Times New Roman" w:hAnsi="Times New Roman"/>
          <w:sz w:val="32"/>
          <w:szCs w:val="32"/>
        </w:rPr>
        <w:t>取得《中华人民共和国进境动植物检疫许可证》</w:t>
      </w:r>
      <w:r>
        <w:rPr>
          <w:rFonts w:ascii="Times New Roman" w:eastAsia="方正仿宋_GBK" w:cs="Times New Roman" w:hAnsi="Times New Roman" w:hint="eastAsia"/>
          <w:sz w:val="32"/>
          <w:szCs w:val="32"/>
        </w:rPr>
        <w:t>（以下简称《检疫许可证》）</w:t>
      </w:r>
      <w:r>
        <w:rPr>
          <w:rFonts w:ascii="Times New Roman" w:eastAsia="方正仿宋_GBK" w:cs="Times New Roman" w:hAnsi="Times New Roman"/>
          <w:sz w:val="32"/>
          <w:szCs w:val="32"/>
        </w:rPr>
        <w:t>。</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2．申请方式</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检疫审批申请方式采取纸质申请。在提交检疫许可申请前，申请企业应首先向货物进口口岸所在地隶属海关申请进境货物加工存放场所考核，取得《昆明海关境外罂粟替代种植返销国内农产品检疫审批考核表》</w:t>
      </w:r>
      <w:r>
        <w:rPr>
          <w:rFonts w:ascii="Times New Roman" w:eastAsia="方正仿宋_GBK" w:cs="Times New Roman" w:hAnsi="Times New Roman" w:hint="eastAsia"/>
          <w:sz w:val="32"/>
          <w:szCs w:val="32"/>
        </w:rPr>
        <w:t>（见附表</w:t>
      </w:r>
      <w:r>
        <w:rPr>
          <w:rFonts w:ascii="Times New Roman" w:eastAsia="方正仿宋_GBK" w:cs="Times New Roman" w:hAnsi="Times New Roman"/>
          <w:sz w:val="32"/>
          <w:szCs w:val="32"/>
        </w:rPr>
        <w:t>，以下简称《考核表》</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3．申请材料</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申请企业应当向昆明海关</w:t>
      </w:r>
      <w:r>
        <w:rPr>
          <w:rFonts w:ascii="方正仿宋_GBK" w:eastAsia="方正仿宋_GBK" w:cs="Times New Roman" w:hint="eastAsia"/>
          <w:sz w:val="32"/>
          <w:szCs w:val="32"/>
        </w:rPr>
        <w:t>“行政许可窗口”</w:t>
      </w:r>
      <w:r>
        <w:rPr>
          <w:rFonts w:ascii="Times New Roman" w:eastAsia="方正仿宋_GBK" w:cs="Times New Roman" w:hAnsi="Times New Roman"/>
          <w:sz w:val="32"/>
          <w:szCs w:val="32"/>
        </w:rPr>
        <w:t>提供下列材料：</w:t>
      </w:r>
    </w:p>
    <w:p>
      <w:pPr>
        <w:numPr>
          <w:ilvl w:val="0"/>
          <w:numId w:val="1"/>
        </w:numPr>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《中华人民共和国进境动植物检疫许可证申请表》；</w:t>
      </w:r>
    </w:p>
    <w:p>
      <w:pPr>
        <w:spacing w:line="560" w:lineRule="exact"/>
        <w:ind w:left="640"/>
        <w:rPr>
          <w:rFonts w:ascii="Times New Roman" w:eastAsia="方正仿宋_GBK" w:cs="Times New Roman" w:hAnsi="Times New Roman"/>
          <w:sz w:val="32"/>
          <w:szCs w:val="32"/>
        </w:rPr>
      </w:pPr>
      <w:r>
        <w:rPr>
          <w:rFonts w:ascii="Times New Roman" w:eastAsia="方正仿宋_GBK" w:cs="Times New Roman" w:hAnsi="Times New Roman"/>
          <w:sz w:val="32"/>
          <w:szCs w:val="32"/>
        </w:rPr>
        <w:t>（2）《境外罂粟替代种植企业证书》（复印件）；</w:t>
      </w:r>
    </w:p>
    <w:p>
      <w:pPr>
        <w:spacing w:line="560" w:lineRule="exact"/>
        <w:ind w:left="640"/>
        <w:rPr>
          <w:rFonts w:ascii="Times New Roman" w:eastAsia="方正仿宋_GBK" w:cs="Times New Roman" w:hAnsi="Times New Roman"/>
          <w:sz w:val="32"/>
          <w:szCs w:val="32"/>
        </w:rPr>
      </w:pPr>
      <w:r>
        <w:rPr>
          <w:rFonts w:ascii="Times New Roman" w:eastAsia="方正仿宋_GBK" w:cs="Times New Roman" w:hAnsi="Times New Roman"/>
          <w:sz w:val="32"/>
          <w:szCs w:val="32"/>
        </w:rPr>
        <w:t>（3）《考核表</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w:t>
      </w:r>
    </w:p>
    <w:p>
      <w:pPr>
        <w:spacing w:line="560" w:lineRule="exact"/>
        <w:ind w:left="0" w:firstLine="612"/>
        <w:rPr>
          <w:rFonts w:ascii="Times New Roman" w:eastAsia="方正仿宋_GBK" w:cs="Times New Roman" w:hAnsi="Times New Roman"/>
          <w:sz w:val="32"/>
          <w:szCs w:val="32"/>
        </w:rPr>
      </w:pPr>
      <w:r>
        <w:rPr>
          <w:rFonts w:ascii="Times New Roman" w:eastAsia="方正仿宋_GBK" w:cs="Times New Roman" w:hAnsi="Times New Roman"/>
          <w:sz w:val="32"/>
          <w:szCs w:val="32"/>
        </w:rPr>
        <w:t>（4）云南省商务厅下达的年度境外</w:t>
      </w:r>
      <w:r>
        <w:rPr>
          <w:rFonts w:ascii="Times New Roman" w:eastAsia="方正仿宋_GBK" w:cs="Times New Roman" w:hAnsi="Times New Roman" w:hint="eastAsia"/>
          <w:sz w:val="32"/>
          <w:szCs w:val="32"/>
        </w:rPr>
        <w:t>罂粟</w:t>
      </w:r>
      <w:r>
        <w:rPr>
          <w:rFonts w:ascii="Times New Roman" w:eastAsia="方正仿宋_GBK" w:cs="Times New Roman" w:hAnsi="Times New Roman"/>
          <w:sz w:val="32"/>
          <w:szCs w:val="32"/>
        </w:rPr>
        <w:t>替代种植返销国内产品进口计划；</w:t>
      </w:r>
    </w:p>
    <w:p>
      <w:pPr>
        <w:spacing w:line="560" w:lineRule="exact"/>
        <w:ind w:firstLine="612"/>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云南省境外罂粟替代种植返销国内产品进口批准证</w:t>
      </w:r>
      <w:r>
        <w:rPr>
          <w:rFonts w:ascii="Times New Roman" w:eastAsia="方正仿宋_GBK" w:cs="Times New Roman" w:hAnsi="Times New Roman" w:hint="eastAsia"/>
          <w:sz w:val="32"/>
          <w:szCs w:val="32"/>
        </w:rPr>
        <w:t>》（复印件）</w:t>
      </w:r>
      <w:r>
        <w:rPr>
          <w:rFonts w:ascii="Times New Roman" w:eastAsia="方正仿宋_GBK" w:cs="Times New Roman" w:hAnsi="Times New Roman"/>
          <w:sz w:val="32"/>
          <w:szCs w:val="32"/>
        </w:rPr>
        <w:t>；</w:t>
      </w:r>
    </w:p>
    <w:p>
      <w:pPr>
        <w:spacing w:line="560" w:lineRule="exact"/>
        <w:ind w:firstLine="612"/>
        <w:rPr>
          <w:rFonts w:ascii="Times New Roman" w:eastAsia="方正仿宋_GBK" w:cs="Times New Roman" w:hAnsi="Times New Roman"/>
          <w:sz w:val="32"/>
          <w:szCs w:val="32"/>
        </w:rPr>
      </w:pPr>
      <w:r>
        <w:rPr>
          <w:rFonts w:ascii="Times New Roman" w:eastAsia="方正仿宋_GBK" w:cs="Times New Roman" w:hAnsi="Times New Roman"/>
          <w:sz w:val="32"/>
          <w:szCs w:val="32"/>
        </w:rPr>
        <w:t>（6）上年度</w:t>
      </w:r>
      <w:r>
        <w:rPr>
          <w:rFonts w:ascii="Times New Roman" w:eastAsia="方正仿宋_GBK" w:cs="Times New Roman" w:hAnsi="Times New Roman"/>
          <w:kern w:val="0"/>
          <w:sz w:val="32"/>
          <w:szCs w:val="32"/>
        </w:rPr>
        <w:t>《中华人民共和国进境动植物检疫许可证》原件</w:t>
      </w:r>
      <w:r>
        <w:rPr>
          <w:rFonts w:ascii="Times New Roman" w:eastAsia="方正仿宋_GBK" w:cs="Times New Roman" w:hAnsi="Times New Roman" w:hint="eastAsia"/>
          <w:kern w:val="0"/>
          <w:sz w:val="32"/>
          <w:szCs w:val="32"/>
        </w:rPr>
        <w:t>（上年度未取得《检疫许可证》的无需提供）</w:t>
      </w:r>
      <w:r>
        <w:rPr>
          <w:rFonts w:ascii="Times New Roman" w:eastAsia="方正仿宋_GBK" w:cs="Times New Roman" w:hAnsi="Times New Roman"/>
          <w:kern w:val="0"/>
          <w:sz w:val="32"/>
          <w:szCs w:val="32"/>
        </w:rPr>
        <w:t>。</w:t>
      </w:r>
    </w:p>
    <w:p>
      <w:pPr>
        <w:spacing w:line="560" w:lineRule="exact"/>
        <w:ind w:firstLineChars="200" w:firstLine="640"/>
        <w:rPr>
          <w:rFonts w:ascii="方正楷体_GBK" w:eastAsia="方正楷体_GBK" w:cs="方正楷体_GBK"/>
          <w:b/>
          <w:bCs/>
          <w:sz w:val="32"/>
          <w:szCs w:val="32"/>
        </w:rPr>
      </w:pPr>
      <w:r>
        <w:rPr>
          <w:rFonts w:ascii="方正楷体_GBK" w:eastAsia="方正楷体_GBK" w:cs="方正楷体_GBK" w:hint="eastAsia"/>
          <w:b/>
          <w:bCs/>
          <w:sz w:val="32"/>
          <w:szCs w:val="32"/>
        </w:rPr>
        <w:t>（二）审核批准</w:t>
      </w:r>
    </w:p>
    <w:p>
      <w:pPr>
        <w:pStyle w:val="24"/>
        <w:adjustRightInd w:val="0"/>
        <w:snapToGrid w:val="0"/>
        <w:spacing w:line="560" w:lineRule="exact"/>
        <w:ind w:firstLineChars="200" w:firstLine="640"/>
        <w:contextualSpacing w:val="0"/>
        <w:rPr>
          <w:rFonts w:ascii="Times New Roman" w:eastAsia="方正仿宋_GBK" w:hAnsi="Times New Roman"/>
          <w:vanish w:val="0"/>
          <w:szCs w:val="32"/>
        </w:rPr>
      </w:pPr>
      <w:r>
        <w:rPr>
          <w:rFonts w:ascii="Times New Roman" w:eastAsia="方正仿宋_GBK" w:cs="Times New Roman" w:hAnsi="Times New Roman"/>
          <w:sz w:val="32"/>
          <w:szCs w:val="32"/>
        </w:rPr>
        <w:t>昆明海关</w:t>
      </w:r>
      <w:r>
        <w:rPr>
          <w:rFonts w:ascii="Times New Roman" w:eastAsia="方正仿宋_GBK" w:hAnsi="Times New Roman" w:hint="eastAsia"/>
          <w:vanish w:val="0"/>
          <w:szCs w:val="32"/>
        </w:rPr>
        <w:t>受理申请后进行审核，</w:t>
      </w:r>
      <w:r>
        <w:rPr>
          <w:rFonts w:eastAsia="方正仿宋_GBK"/>
          <w:szCs w:val="32"/>
        </w:rPr>
        <w:t>审核</w:t>
      </w:r>
      <w:r>
        <w:rPr>
          <w:rFonts w:eastAsia="方正仿宋_GBK" w:hint="eastAsia"/>
          <w:szCs w:val="32"/>
        </w:rPr>
        <w:t>内容</w:t>
      </w:r>
      <w:r>
        <w:rPr>
          <w:rFonts w:eastAsia="方正仿宋_GBK"/>
          <w:szCs w:val="32"/>
        </w:rPr>
        <w:t>主要</w:t>
      </w:r>
      <w:r>
        <w:rPr>
          <w:rFonts w:eastAsia="方正仿宋_GBK" w:hint="eastAsia"/>
          <w:szCs w:val="32"/>
        </w:rPr>
        <w:t>包括：</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1．申请单位提交的材料是否齐全；</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2．是否符合</w:t>
      </w:r>
      <w:r>
        <w:rPr>
          <w:rFonts w:ascii="Times New Roman" w:eastAsia="方正仿宋_GBK" w:cs="Times New Roman" w:hAnsi="Times New Roman" w:hint="eastAsia"/>
          <w:sz w:val="32"/>
          <w:szCs w:val="32"/>
        </w:rPr>
        <w:t>我</w:t>
      </w:r>
      <w:r>
        <w:rPr>
          <w:rFonts w:ascii="Times New Roman" w:eastAsia="方正仿宋_GBK" w:cs="Times New Roman" w:hAnsi="Times New Roman"/>
          <w:sz w:val="32"/>
          <w:szCs w:val="32"/>
        </w:rPr>
        <w:t>国有关动植物检疫法律法规和部门规章的规定；</w:t>
      </w:r>
    </w:p>
    <w:p>
      <w:pPr>
        <w:pStyle w:val="27"/>
        <w:keepNext w:val="0"/>
        <w:keepLines w:val="0"/>
        <w:pageBreakBefore w:val="0"/>
        <w:widowControl/>
        <w:suppressLineNumbers w:val="0"/>
        <w:suppressAutoHyphens w:val="0"/>
        <w:adjustRightInd/>
        <w:snapToGrid w:val="0"/>
        <w:spacing w:line="560" w:lineRule="exact"/>
        <w:ind w:firstLineChars="200" w:firstLine="640"/>
        <w:contextualSpacing w:val="0"/>
        <w:rPr>
          <w:rFonts w:ascii="Times New Roman" w:eastAsia="方正仿宋_GBK" w:cs="Times New Roman" w:hAnsi="Times New Roman"/>
          <w:sz w:val="32"/>
          <w:szCs w:val="32"/>
        </w:rPr>
      </w:pPr>
      <w:r>
        <w:rPr>
          <w:rFonts w:ascii="Times New Roman" w:eastAsia="方正仿宋_GBK" w:cs="Times New Roman" w:hAnsi="Times New Roman"/>
          <w:sz w:val="32"/>
          <w:szCs w:val="32"/>
        </w:rPr>
        <w:t>3．可以核销的境外</w:t>
      </w:r>
      <w:r>
        <w:rPr>
          <w:rFonts w:ascii="Times New Roman" w:eastAsia="方正仿宋_GBK" w:cs="Times New Roman" w:hAnsi="Times New Roman" w:hint="eastAsia"/>
          <w:sz w:val="32"/>
          <w:szCs w:val="32"/>
        </w:rPr>
        <w:t>罂粟</w:t>
      </w:r>
      <w:r>
        <w:rPr>
          <w:rFonts w:ascii="Times New Roman" w:eastAsia="方正仿宋_GBK" w:cs="Times New Roman" w:hAnsi="Times New Roman"/>
          <w:sz w:val="32"/>
          <w:szCs w:val="32"/>
        </w:rPr>
        <w:t>替代种植返销国内农产品，应当按照有关规定审核其上一次审批的《检疫许可证》的使用、核销情况。</w:t>
      </w:r>
    </w:p>
    <w:p>
      <w:pPr>
        <w:pStyle w:val="38"/>
        <w:keepNext w:val="0"/>
        <w:keepLines w:val="0"/>
        <w:pageBreakBefore w:val="0"/>
        <w:widowControl/>
        <w:suppressLineNumbers w:val="0"/>
        <w:suppressAutoHyphens w:val="0"/>
        <w:adjustRightInd/>
        <w:snapToGrid w:val="0"/>
        <w:spacing w:line="560" w:lineRule="exact"/>
        <w:ind w:firstLineChars="200" w:firstLine="640"/>
        <w:contextualSpacing w:val="0"/>
        <w:rPr>
          <w:rFonts w:ascii="Times New Roman" w:eastAsia="方正仿宋_GBK" w:cs="Times New Roman" w:hAnsi="Times New Roman"/>
          <w:sz w:val="32"/>
          <w:szCs w:val="32"/>
        </w:rPr>
      </w:pPr>
      <w:r>
        <w:rPr>
          <w:rFonts w:ascii="Times New Roman" w:eastAsia="方正仿宋_GBK" w:cs="Times New Roman" w:hAnsi="Times New Roman"/>
          <w:sz w:val="32"/>
          <w:szCs w:val="32"/>
        </w:rPr>
        <w:t>昆明海关根据审核情况，自受理申请之日起二十日内签发《检疫许可证》或者《检疫许可证申请未获批准通知单》。二十日内不能做出决定的，经昆明海关关领导批准，可以延长十日，并应当将延长期限的理由告知申请企业。</w:t>
      </w:r>
    </w:p>
    <w:p>
      <w:pPr>
        <w:pStyle w:val="41"/>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一旦发现周边国家发生重大疫情，海关须立即停止审批。</w:t>
      </w:r>
    </w:p>
    <w:p>
      <w:pPr>
        <w:spacing w:line="560" w:lineRule="exact"/>
        <w:ind w:firstLineChars="200" w:firstLine="640"/>
        <w:rPr>
          <w:rFonts w:ascii="Times New Roman" w:eastAsia="方正仿宋_GBK" w:cs="Times New Roman" w:hAnsi="Times New Roman"/>
          <w:sz w:val="32"/>
          <w:szCs w:val="32"/>
        </w:rPr>
      </w:pPr>
      <w:r>
        <w:rPr>
          <w:rFonts w:ascii="方正黑体_GBK" w:eastAsia="方正黑体_GBK" w:cs="方正黑体_GBK" w:hint="eastAsia"/>
          <w:sz w:val="32"/>
          <w:szCs w:val="32"/>
        </w:rPr>
        <w:t>四、许可单证的管理和使用</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楷体_GBK" w:hint="eastAsia"/>
          <w:sz w:val="32"/>
          <w:szCs w:val="32"/>
        </w:rPr>
        <w:t>（一）</w:t>
      </w:r>
      <w:r>
        <w:rPr>
          <w:rFonts w:ascii="Times New Roman" w:eastAsia="方正仿宋_GBK" w:cs="Times New Roman" w:hAnsi="Times New Roman"/>
          <w:sz w:val="32"/>
          <w:szCs w:val="32"/>
        </w:rPr>
        <w:t>《检疫许可证申请表》、《检疫许可证》和《检疫许可证申请未获批准通知单》由海关总署统一印制和发放。</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楷体_GBK" w:hint="eastAsia"/>
          <w:sz w:val="32"/>
          <w:szCs w:val="32"/>
        </w:rPr>
        <w:t>（二）</w:t>
      </w:r>
      <w:r>
        <w:rPr>
          <w:rFonts w:ascii="Times New Roman" w:eastAsia="方正仿宋_GBK" w:cs="Times New Roman" w:hAnsi="Times New Roman" w:hint="eastAsia"/>
          <w:sz w:val="32"/>
          <w:szCs w:val="32"/>
        </w:rPr>
        <w:t>返销农产品</w:t>
      </w:r>
      <w:r>
        <w:rPr>
          <w:rFonts w:ascii="Times New Roman" w:eastAsia="方正仿宋_GBK" w:cs="Times New Roman" w:hAnsi="Times New Roman"/>
          <w:sz w:val="32"/>
          <w:szCs w:val="32"/>
        </w:rPr>
        <w:t>的《检疫许可证》有效期</w:t>
      </w:r>
      <w:r>
        <w:rPr>
          <w:rFonts w:ascii="Times New Roman" w:eastAsia="方正仿宋_GBK" w:cs="Times New Roman" w:hAnsi="Times New Roman" w:hint="eastAsia"/>
          <w:sz w:val="32"/>
          <w:szCs w:val="32"/>
        </w:rPr>
        <w:t>截止当年12月31日，</w:t>
      </w:r>
      <w:r>
        <w:rPr>
          <w:rFonts w:ascii="Times New Roman" w:eastAsia="方正仿宋_GBK" w:cs="Times New Roman" w:hAnsi="Times New Roman"/>
          <w:sz w:val="32"/>
          <w:szCs w:val="32"/>
        </w:rPr>
        <w:t>不得跨年度使用。</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楷体_GBK" w:hint="eastAsia"/>
          <w:sz w:val="32"/>
          <w:szCs w:val="32"/>
        </w:rPr>
        <w:t>（三）</w:t>
      </w:r>
      <w:r>
        <w:rPr>
          <w:rFonts w:ascii="方正仿宋_GBK" w:eastAsia="方正仿宋_GBK" w:cs="Times New Roman" w:hint="eastAsia"/>
          <w:sz w:val="32"/>
          <w:szCs w:val="32"/>
        </w:rPr>
        <w:t>按照规定可以核销的返销农产品，在许可数量范围内分批进</w:t>
      </w:r>
      <w:r>
        <w:rPr>
          <w:rFonts w:ascii="Times New Roman" w:eastAsia="方正仿宋_GBK" w:cs="Times New Roman" w:hAnsi="Times New Roman"/>
          <w:sz w:val="32"/>
          <w:szCs w:val="32"/>
        </w:rPr>
        <w:t>口、多次</w:t>
      </w:r>
      <w:r>
        <w:rPr>
          <w:rFonts w:ascii="Times New Roman" w:eastAsia="方正仿宋_GBK" w:cs="Times New Roman" w:hAnsi="Times New Roman" w:hint="eastAsia"/>
          <w:sz w:val="32"/>
          <w:szCs w:val="32"/>
        </w:rPr>
        <w:t>报检</w:t>
      </w:r>
      <w:r>
        <w:rPr>
          <w:rFonts w:ascii="Times New Roman" w:eastAsia="方正仿宋_GBK" w:cs="Times New Roman" w:hAnsi="Times New Roman"/>
          <w:sz w:val="32"/>
          <w:szCs w:val="32"/>
        </w:rPr>
        <w:t>使用《检疫许可证》的，进境口岸海关应当在《检疫许可证》所附检疫物进境核销表中进行核销登记。</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楷体_GBK" w:hint="eastAsia"/>
          <w:sz w:val="32"/>
          <w:szCs w:val="32"/>
        </w:rPr>
        <w:t>（四）</w:t>
      </w:r>
      <w:r>
        <w:rPr>
          <w:rFonts w:ascii="Times New Roman" w:eastAsia="方正仿宋_GBK" w:cs="Times New Roman" w:hAnsi="Times New Roman"/>
          <w:sz w:val="32"/>
          <w:szCs w:val="32"/>
        </w:rPr>
        <w:t>有下列情况之一的，申请单位应当重新申请办理《检疫许可证》：</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1</w:t>
      </w:r>
      <w:r>
        <w:rPr>
          <w:rFonts w:ascii="Times New Roman" w:eastAsia="方正仿宋_GBK" w:cs="Times New Roman" w:hAnsi="Times New Roman"/>
          <w:sz w:val="32"/>
          <w:szCs w:val="32"/>
        </w:rPr>
        <w:t>．变更进境检疫物的品种或者超过许可数量百分之五以上的；</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2</w:t>
      </w:r>
      <w:r>
        <w:rPr>
          <w:rFonts w:ascii="Times New Roman" w:eastAsia="方正仿宋_GBK" w:cs="Times New Roman" w:hAnsi="Times New Roman"/>
          <w:sz w:val="32"/>
          <w:szCs w:val="32"/>
        </w:rPr>
        <w:t>．变更输出国家或者地区的；</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3</w:t>
      </w:r>
      <w:r>
        <w:rPr>
          <w:rFonts w:ascii="Times New Roman" w:eastAsia="方正仿宋_GBK" w:cs="Times New Roman" w:hAnsi="Times New Roman"/>
          <w:sz w:val="32"/>
          <w:szCs w:val="32"/>
        </w:rPr>
        <w:t>．变更进境口岸、指运地或者运输路线的。</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楷体_GBK" w:hint="eastAsia"/>
          <w:sz w:val="32"/>
          <w:szCs w:val="32"/>
        </w:rPr>
        <w:t>（五）</w:t>
      </w:r>
      <w:r>
        <w:rPr>
          <w:rFonts w:ascii="Times New Roman" w:eastAsia="方正仿宋_GBK" w:cs="Times New Roman" w:hAnsi="Times New Roman"/>
          <w:sz w:val="32"/>
          <w:szCs w:val="32"/>
        </w:rPr>
        <w:t>有下列情况之一的，《检疫许可证》失效：</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1</w:t>
      </w:r>
      <w:r>
        <w:rPr>
          <w:rFonts w:ascii="Times New Roman" w:eastAsia="方正仿宋_GBK" w:cs="Times New Roman" w:hAnsi="Times New Roman"/>
          <w:sz w:val="32"/>
          <w:szCs w:val="32"/>
        </w:rPr>
        <w:t>．《检疫许可证》有效期届满的；</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2</w:t>
      </w:r>
      <w:r>
        <w:rPr>
          <w:rFonts w:ascii="Times New Roman" w:eastAsia="方正仿宋_GBK" w:cs="Times New Roman" w:hAnsi="Times New Roman"/>
          <w:sz w:val="32"/>
          <w:szCs w:val="32"/>
        </w:rPr>
        <w:t>．在许可范围内，分批进口、多次</w:t>
      </w:r>
      <w:r>
        <w:rPr>
          <w:rFonts w:ascii="Times New Roman" w:eastAsia="方正仿宋_GBK" w:cs="Times New Roman" w:hAnsi="Times New Roman" w:hint="eastAsia"/>
          <w:sz w:val="32"/>
          <w:szCs w:val="32"/>
        </w:rPr>
        <w:t>报检</w:t>
      </w:r>
      <w:r>
        <w:rPr>
          <w:rFonts w:ascii="Times New Roman" w:eastAsia="方正仿宋_GBK" w:cs="Times New Roman" w:hAnsi="Times New Roman"/>
          <w:sz w:val="32"/>
          <w:szCs w:val="32"/>
        </w:rPr>
        <w:t>使用的，许可数量全部核销完毕的。</w:t>
      </w:r>
    </w:p>
    <w:p>
      <w:pPr>
        <w:pStyle w:val="42"/>
        <w:spacing w:line="560" w:lineRule="exact"/>
        <w:ind w:leftChars="76" w:left="160" w:firstLineChars="150" w:firstLine="480"/>
        <w:rPr>
          <w:rFonts w:ascii="Times New Roman" w:eastAsia="方正仿宋_GBK" w:cs="Times New Roman" w:hAnsi="Times New Roman"/>
          <w:sz w:val="32"/>
          <w:szCs w:val="32"/>
        </w:rPr>
      </w:pPr>
      <w:r>
        <w:rPr>
          <w:rFonts w:ascii="方正仿宋_GBK" w:eastAsia="方正仿宋_GBK" w:cs="方正楷体_GBK" w:hint="eastAsia"/>
          <w:sz w:val="32"/>
          <w:szCs w:val="32"/>
        </w:rPr>
        <w:t>（六）</w:t>
      </w:r>
      <w:r>
        <w:rPr>
          <w:rFonts w:ascii="Times New Roman" w:eastAsia="方正仿宋_GBK" w:cs="Times New Roman" w:hAnsi="Times New Roman"/>
          <w:sz w:val="32"/>
          <w:szCs w:val="32"/>
        </w:rPr>
        <w:t>国家依法发布禁止有关检疫物进境的公告或者禁令后，</w:t>
      </w:r>
      <w:r>
        <w:rPr>
          <w:rFonts w:ascii="Times New Roman" w:eastAsia="方正仿宋_GBK" w:cs="Times New Roman" w:hAnsi="Times New Roman" w:hint="eastAsia"/>
          <w:sz w:val="32"/>
          <w:szCs w:val="32"/>
        </w:rPr>
        <w:t>昆明海关</w:t>
      </w:r>
      <w:r>
        <w:rPr>
          <w:rFonts w:ascii="Times New Roman" w:eastAsia="方正仿宋_GBK" w:cs="Times New Roman" w:hAnsi="Times New Roman"/>
          <w:sz w:val="32"/>
          <w:szCs w:val="32"/>
        </w:rPr>
        <w:t>可以撤回已签发的《检疫许可证》。</w:t>
      </w:r>
    </w:p>
    <w:p>
      <w:pPr>
        <w:pStyle w:val="42"/>
        <w:spacing w:line="560" w:lineRule="exact"/>
        <w:ind w:leftChars="76" w:left="160" w:firstLineChars="150" w:firstLine="480"/>
        <w:rPr>
          <w:rFonts w:ascii="Times New Roman" w:eastAsia="方正仿宋_GBK" w:cs="Times New Roman" w:hAnsi="Times New Roman"/>
          <w:sz w:val="32"/>
          <w:szCs w:val="32"/>
        </w:rPr>
      </w:pPr>
      <w:r>
        <w:rPr>
          <w:rFonts w:ascii="Times New Roman" w:eastAsia="方正仿宋_GBK" w:cs="Times New Roman" w:hAnsi="Times New Roman"/>
          <w:sz w:val="32"/>
          <w:szCs w:val="32"/>
        </w:rPr>
        <w:t>（七）申请单位违反检疫审批的有关规定，包括但不限于使用虚假申请材料获得审批的，</w:t>
      </w:r>
      <w:r>
        <w:rPr>
          <w:rFonts w:ascii="Times New Roman" w:eastAsia="方正仿宋_GBK" w:cs="Times New Roman" w:hAnsi="Times New Roman" w:hint="eastAsia"/>
          <w:sz w:val="32"/>
          <w:szCs w:val="32"/>
        </w:rPr>
        <w:t>昆明海关</w:t>
      </w:r>
      <w:r>
        <w:rPr>
          <w:rFonts w:ascii="Times New Roman" w:eastAsia="方正仿宋_GBK" w:cs="Times New Roman" w:hAnsi="Times New Roman"/>
          <w:sz w:val="32"/>
          <w:szCs w:val="32"/>
        </w:rPr>
        <w:t>可以</w:t>
      </w:r>
      <w:r>
        <w:rPr>
          <w:rFonts w:ascii="Times New Roman" w:eastAsia="方正仿宋_GBK" w:cs="Times New Roman" w:hAnsi="Times New Roman" w:hint="eastAsia"/>
          <w:sz w:val="32"/>
          <w:szCs w:val="32"/>
        </w:rPr>
        <w:t>撤</w:t>
      </w:r>
      <w:r>
        <w:rPr>
          <w:rFonts w:ascii="Times New Roman" w:eastAsia="方正仿宋_GBK" w:cs="Times New Roman" w:hAnsi="Times New Roman"/>
          <w:sz w:val="32"/>
          <w:szCs w:val="32"/>
        </w:rPr>
        <w:t>销已签发的《检疫许可证》。</w:t>
      </w:r>
    </w:p>
    <w:p>
      <w:pPr>
        <w:spacing w:line="560" w:lineRule="exact"/>
        <w:ind w:leftChars="76" w:left="160" w:firstLineChars="150" w:firstLine="480"/>
        <w:rPr>
          <w:rFonts w:ascii="Times New Roman" w:eastAsia="方正仿宋_GBK" w:cs="Times New Roman" w:hAnsi="Times New Roman"/>
          <w:sz w:val="32"/>
          <w:szCs w:val="32"/>
        </w:rPr>
      </w:pPr>
      <w:r>
        <w:rPr>
          <w:rFonts w:ascii="方正仿宋_GBK" w:eastAsia="方正仿宋_GBK" w:cs="方正楷体_GBK" w:hint="eastAsia"/>
          <w:sz w:val="32"/>
          <w:szCs w:val="32"/>
        </w:rPr>
        <w:t>（八）</w:t>
      </w:r>
      <w:r>
        <w:rPr>
          <w:rFonts w:ascii="Times New Roman" w:eastAsia="方正仿宋_GBK" w:cs="Times New Roman" w:hAnsi="Times New Roman"/>
          <w:sz w:val="32"/>
          <w:szCs w:val="32"/>
        </w:rPr>
        <w:t>申请单位取得许可证后，不得买卖或者转让。</w:t>
      </w:r>
    </w:p>
    <w:p>
      <w:pPr>
        <w:spacing w:line="56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br w:type="page"/>
      </w:r>
      <w:r>
        <w:rPr>
          <w:rFonts w:ascii="方正黑体_GBK" w:eastAsia="方正黑体_GBK" w:cs="方正黑体_GBK" w:hint="eastAsia"/>
          <w:sz w:val="32"/>
          <w:szCs w:val="32"/>
        </w:rPr>
        <w:t>附表</w:t>
      </w:r>
    </w:p>
    <w:p>
      <w:pPr>
        <w:spacing w:line="560" w:lineRule="exact"/>
        <w:jc w:val="center"/>
        <w:rPr>
          <w:rFonts w:ascii="方正小标宋_GBK" w:eastAsia="方正小标宋_GBK" w:cs="方正小标宋_GBK"/>
          <w:sz w:val="36"/>
          <w:szCs w:val="36"/>
        </w:rPr>
      </w:pPr>
      <w:r>
        <w:rPr>
          <w:rFonts w:ascii="方正小标宋_GBK" w:eastAsia="方正小标宋_GBK" w:cs="方正小标宋_GBK" w:hint="eastAsia"/>
          <w:sz w:val="36"/>
          <w:szCs w:val="36"/>
        </w:rPr>
        <w:t>昆明海关境外罂粟替代种植返销国内农产品</w:t>
      </w:r>
    </w:p>
    <w:tbl>
      <w:tblPr>
        <w:tblpPr w:leftFromText="180" w:rightFromText="180" w:vertAnchor="page" w:horzAnchor="page" w:tblpX="1573" w:tblpY="3266"/>
        <w:tblOverlap w:val="neve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6"/>
        <w:gridCol w:w="1462"/>
        <w:gridCol w:w="2546"/>
        <w:gridCol w:w="1932"/>
        <w:gridCol w:w="2373"/>
      </w:tblGrid>
      <w:tr>
        <w:trPr>
          <w:trHeight w:hRule="exact" w:val="567"/>
        </w:trPr>
        <w:tc>
          <w:tcPr>
            <w:tcW w:w="2108"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申请单位</w:t>
            </w:r>
          </w:p>
        </w:tc>
        <w:tc>
          <w:tcPr>
            <w:tcW w:w="6851"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p>
        </w:tc>
      </w:tr>
      <w:tr>
        <w:trPr>
          <w:trHeight w:hRule="exact" w:val="567"/>
        </w:trPr>
        <w:tc>
          <w:tcPr>
            <w:tcW w:w="2108"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单位地址</w:t>
            </w:r>
          </w:p>
        </w:tc>
        <w:tc>
          <w:tcPr>
            <w:tcW w:w="6851"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p>
        </w:tc>
      </w:tr>
      <w:tr>
        <w:trPr>
          <w:trHeight w:hRule="exact" w:val="567"/>
        </w:trPr>
        <w:tc>
          <w:tcPr>
            <w:tcW w:w="2108"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联系人</w:t>
            </w:r>
          </w:p>
        </w:tc>
        <w:tc>
          <w:tcPr>
            <w:tcW w:w="2546"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p>
        </w:tc>
        <w:tc>
          <w:tcPr>
            <w:tcW w:w="1932"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联系电话</w:t>
            </w:r>
          </w:p>
        </w:tc>
        <w:tc>
          <w:tcPr>
            <w:tcW w:w="2373"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p>
        </w:tc>
      </w:tr>
      <w:tr>
        <w:trPr>
          <w:trHeight w:hRule="exact" w:val="567"/>
        </w:trPr>
        <w:tc>
          <w:tcPr>
            <w:tcW w:w="2108"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申请产品</w:t>
            </w:r>
          </w:p>
        </w:tc>
        <w:tc>
          <w:tcPr>
            <w:tcW w:w="6851"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p>
        </w:tc>
      </w:tr>
      <w:tr>
        <w:trPr>
          <w:trHeight w:val="6446"/>
        </w:trPr>
        <w:tc>
          <w:tcPr>
            <w:tcW w:w="646"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考核情况及意见</w:t>
            </w:r>
          </w:p>
        </w:tc>
        <w:tc>
          <w:tcPr>
            <w:tcW w:w="8313" w:type="dxa"/>
            <w:gridSpan w:val="4"/>
            <w:tcBorders>
              <w:top w:val="single" w:sz="4" w:space="0" w:color="auto"/>
              <w:left w:val="single" w:sz="4" w:space="0" w:color="auto"/>
              <w:bottom w:val="single" w:sz="4" w:space="0" w:color="auto"/>
              <w:right w:val="single" w:sz="4" w:space="0" w:color="auto"/>
            </w:tcBorders>
          </w:tcPr>
          <w:p>
            <w:pPr>
              <w:spacing w:line="560" w:lineRule="exact"/>
              <w:rPr>
                <w:rFonts w:ascii="方正仿宋_GBK" w:eastAsia="方正仿宋_GBK" w:cs="方正仿宋_GBK"/>
                <w:sz w:val="24"/>
                <w:szCs w:val="24"/>
              </w:rPr>
            </w:pPr>
            <w:r>
              <w:rPr>
                <w:rFonts w:ascii="方正仿宋_GBK" w:eastAsia="方正仿宋_GBK" w:cs="方正仿宋_GBK" w:hint="eastAsia"/>
                <w:sz w:val="24"/>
                <w:szCs w:val="24"/>
              </w:rPr>
              <w:t>（申请单位进境货物生产、加工、存放条件及规模，防疫措施、用途等情况。）</w:t>
            </w: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r>
              <w:rPr>
                <w:rFonts w:ascii="方正仿宋_GBK" w:eastAsia="方正仿宋_GBK" w:cs="方正仿宋_GBK" w:hint="eastAsia"/>
                <w:sz w:val="28"/>
                <w:szCs w:val="28"/>
              </w:rPr>
              <w:t>考核人员：                      考核日期：    年   月   日</w:t>
            </w:r>
          </w:p>
        </w:tc>
      </w:tr>
      <w:tr>
        <w:trPr>
          <w:trHeight w:val="3490"/>
        </w:trPr>
        <w:tc>
          <w:tcPr>
            <w:tcW w:w="646"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考核单位意见</w:t>
            </w:r>
          </w:p>
        </w:tc>
        <w:tc>
          <w:tcPr>
            <w:tcW w:w="8313"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ascii="方正仿宋_GBK" w:eastAsia="方正仿宋_GBK" w:cs="方正仿宋_GBK"/>
                <w:sz w:val="28"/>
                <w:szCs w:val="28"/>
              </w:rPr>
            </w:pPr>
          </w:p>
          <w:p>
            <w:pPr>
              <w:spacing w:line="560" w:lineRule="exact"/>
              <w:rPr>
                <w:rFonts w:ascii="方正仿宋_GBK" w:eastAsia="方正仿宋_GBK" w:cs="方正仿宋_GBK"/>
                <w:sz w:val="28"/>
                <w:szCs w:val="28"/>
              </w:rPr>
            </w:pPr>
          </w:p>
          <w:p>
            <w:pPr>
              <w:spacing w:line="560" w:lineRule="exact"/>
              <w:jc w:val="center"/>
              <w:rPr>
                <w:rFonts w:ascii="方正仿宋_GBK" w:eastAsia="方正仿宋_GBK" w:cs="方正仿宋_GBK"/>
                <w:sz w:val="28"/>
                <w:szCs w:val="28"/>
              </w:rPr>
            </w:pP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 xml:space="preserve">                                       （盖章）</w:t>
            </w:r>
          </w:p>
          <w:p>
            <w:pPr>
              <w:spacing w:line="560" w:lineRule="exact"/>
              <w:ind w:firstLineChars="100" w:firstLine="280"/>
              <w:rPr>
                <w:rFonts w:ascii="方正仿宋_GBK" w:eastAsia="方正仿宋_GBK" w:cs="方正仿宋_GBK"/>
                <w:sz w:val="28"/>
                <w:szCs w:val="28"/>
              </w:rPr>
            </w:pPr>
            <w:r>
              <w:rPr>
                <w:rFonts w:ascii="方正仿宋_GBK" w:eastAsia="方正仿宋_GBK" w:cs="方正仿宋_GBK" w:hint="eastAsia"/>
                <w:sz w:val="28"/>
                <w:szCs w:val="28"/>
              </w:rPr>
              <w:t>负责人（签字）：                         年   月   日</w:t>
            </w:r>
          </w:p>
        </w:tc>
      </w:tr>
    </w:tbl>
    <w:p>
      <w:pPr>
        <w:spacing w:line="560" w:lineRule="exact"/>
        <w:jc w:val="center"/>
      </w:pPr>
      <w:r>
        <w:rPr>
          <w:rFonts w:ascii="方正小标宋_GBK" w:eastAsia="方正小标宋_GBK" w:cs="方正小标宋_GBK" w:hint="eastAsia"/>
          <w:sz w:val="36"/>
          <w:szCs w:val="36"/>
        </w:rPr>
        <w:t>检疫审批考核表</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FDD4CFF2"/>
    <w:multiLevelType w:val="singleLevel"/>
    <w:tmpl w:val="FDD4CFF2"/>
    <w:lvl w:ilvl="0">
      <w:start w:val="1"/>
      <w:numFmt w:val="decimal"/>
      <w:lvlRestart w:val="0"/>
      <w:suff w:val="nothing"/>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Balloon Text"/>
    <w:basedOn w:val="0"/>
    <w:rPr>
      <w:sz w:val="18"/>
      <w:szCs w:val="18"/>
    </w:rPr>
  </w:style>
  <w:style w:type="paragraph" w:styleId="18">
    <w:name w:val="annotation text"/>
    <w:basedOn w:val="0"/>
    <w:pPr>
      <w:jc w:val="left"/>
    </w:pPr>
  </w:style>
  <w:style w:type="paragraph" w:styleId="19">
    <w:name w:val="annotation subject"/>
    <w:basedOn w:val="18"/>
    <w:next w:val="18"/>
    <w:rPr>
      <w:b/>
    </w:rPr>
  </w:style>
  <w:style w:type="paragraph" w:customStyle="1" w:styleId="20">
    <w:name w:val="样式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21">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22">
    <w:name w:val="样式 1 10 磅"/>
    <w:pPr>
      <w:widowControl w:val="0"/>
      <w:jc w:val="both"/>
    </w:pPr>
    <w:rPr>
      <w:rFonts w:ascii="Calibri" w:eastAsia="宋体" w:cs="Arial" w:hAnsi="Calibri"/>
      <w:kern w:val="2"/>
      <w:sz w:val="21"/>
      <w:szCs w:val="22"/>
      <w:lang w:val="en-US" w:eastAsia="zh-CN" w:bidi="ar-SA"/>
    </w:rPr>
  </w:style>
  <w:style w:type="paragraph" w:customStyle="1" w:styleId="23">
    <w:name w:val="样式 2 10 磅"/>
    <w:pPr>
      <w:widowControl w:val="0"/>
      <w:jc w:val="both"/>
    </w:pPr>
    <w:rPr>
      <w:rFonts w:ascii="Calibri" w:eastAsia="宋体" w:cs="Arial" w:hAnsi="Calibri"/>
      <w:kern w:val="2"/>
      <w:sz w:val="21"/>
      <w:szCs w:val="22"/>
      <w:lang w:val="en-US" w:eastAsia="zh-CN" w:bidi="ar-SA"/>
    </w:rPr>
  </w:style>
  <w:style w:type="paragraph" w:customStyle="1" w:styleId="24">
    <w:name w:val="样式 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25">
    <w:name w:val="样式 3 10 磅"/>
    <w:pPr>
      <w:widowControl w:val="0"/>
      <w:jc w:val="both"/>
    </w:pPr>
    <w:rPr>
      <w:rFonts w:ascii="Calibri" w:eastAsia="宋体" w:cs="Arial" w:hAnsi="Calibri"/>
      <w:kern w:val="2"/>
      <w:sz w:val="21"/>
      <w:szCs w:val="22"/>
      <w:lang w:val="en-US" w:eastAsia="zh-CN" w:bidi="ar-SA"/>
    </w:rPr>
  </w:style>
  <w:style w:type="paragraph" w:customStyle="1" w:styleId="26">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27">
    <w:name w:val="样式 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28">
    <w:name w:val="样式 10 磅53"/>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29">
    <w:name w:val="样式 10 磅130"/>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0">
    <w:name w:val="样式 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1">
    <w:name w:val="样式 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2">
    <w:name w:val="样式 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3">
    <w:name w:val="样式 7 10 磅"/>
    <w:pPr>
      <w:widowControl w:val="0"/>
      <w:jc w:val="both"/>
    </w:pPr>
    <w:rPr>
      <w:rFonts w:ascii="Calibri" w:eastAsia="宋体" w:cs="Arial" w:hAnsi="Calibri"/>
      <w:kern w:val="2"/>
      <w:sz w:val="21"/>
      <w:szCs w:val="22"/>
      <w:lang w:val="en-US" w:eastAsia="zh-CN" w:bidi="ar-SA"/>
    </w:rPr>
  </w:style>
  <w:style w:type="paragraph" w:customStyle="1" w:styleId="34">
    <w:name w:val="样式 8 10 磅"/>
    <w:pPr>
      <w:widowControl w:val="0"/>
      <w:jc w:val="both"/>
    </w:pPr>
    <w:rPr>
      <w:rFonts w:ascii="Calibri" w:eastAsia="宋体" w:cs="Arial" w:hAnsi="Calibri"/>
      <w:kern w:val="2"/>
      <w:sz w:val="21"/>
      <w:szCs w:val="22"/>
      <w:lang w:val="en-US" w:eastAsia="zh-CN" w:bidi="ar-SA"/>
    </w:rPr>
  </w:style>
  <w:style w:type="paragraph" w:customStyle="1" w:styleId="35">
    <w:name w:val="样式 9 10 磅"/>
    <w:pPr>
      <w:widowControl w:val="0"/>
      <w:jc w:val="both"/>
    </w:pPr>
    <w:rPr>
      <w:rFonts w:ascii="Calibri" w:eastAsia="宋体" w:cs="Arial" w:hAnsi="Calibri"/>
      <w:kern w:val="2"/>
      <w:sz w:val="21"/>
      <w:szCs w:val="22"/>
      <w:lang w:val="en-US" w:eastAsia="zh-CN" w:bidi="ar-SA"/>
    </w:rPr>
  </w:style>
  <w:style w:type="paragraph" w:customStyle="1" w:styleId="36">
    <w:name w:val="样式 1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7">
    <w:name w:val="样式 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38">
    <w:name w:val="样式 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32"/>
      <w:szCs w:val="21"/>
      <w:u w:val="none" w:color="auto"/>
      <w:shd w:val="clear" w:color="auto" w:fill="auto"/>
      <w:vertAlign w:val="baseline"/>
      <w:em w:val="none"/>
      <w:lang w:val="en-US" w:eastAsia="zh-CN" w:bidi="ar-SA"/>
    </w:rPr>
  </w:style>
  <w:style w:type="paragraph" w:customStyle="1" w:styleId="39">
    <w:name w:val="样式 11 10 磅"/>
    <w:pPr>
      <w:widowControl w:val="0"/>
      <w:jc w:val="both"/>
    </w:pPr>
    <w:rPr>
      <w:rFonts w:ascii="Calibri" w:eastAsia="宋体" w:cs="Arial" w:hAnsi="Calibri"/>
      <w:kern w:val="2"/>
      <w:sz w:val="21"/>
      <w:szCs w:val="22"/>
      <w:lang w:val="en-US" w:eastAsia="zh-CN" w:bidi="ar-SA"/>
    </w:rPr>
  </w:style>
  <w:style w:type="paragraph" w:customStyle="1" w:styleId="40">
    <w:name w:val="样式 1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41">
    <w:name w:val="样式 13 10 磅"/>
    <w:pPr>
      <w:widowControl w:val="0"/>
      <w:jc w:val="both"/>
    </w:pPr>
    <w:rPr>
      <w:rFonts w:ascii="Calibri" w:eastAsia="宋体" w:cs="Arial" w:hAnsi="Calibri"/>
      <w:kern w:val="2"/>
      <w:sz w:val="21"/>
      <w:szCs w:val="22"/>
      <w:lang w:val="en-US" w:eastAsia="zh-CN" w:bidi="ar-SA"/>
    </w:rPr>
  </w:style>
  <w:style w:type="paragraph" w:customStyle="1" w:styleId="42">
    <w:name w:val="样式 14 10 磅"/>
    <w:pPr>
      <w:widowControl w:val="0"/>
      <w:jc w:val="both"/>
    </w:pPr>
    <w:rPr>
      <w:rFonts w:ascii="Calibri" w:eastAsia="宋体" w:cs="Arial" w:hAnsi="Calibri"/>
      <w:kern w:val="2"/>
      <w:sz w:val="21"/>
      <w:szCs w:val="22"/>
      <w:lang w:val="en-US" w:eastAsia="zh-CN" w:bidi="ar-SA"/>
    </w:rPr>
  </w:style>
  <w:style w:type="paragraph" w:customStyle="1" w:styleId="43">
    <w:name w:val="样式 15 10 磅"/>
    <w:pPr>
      <w:widowControl w:val="0"/>
      <w:jc w:val="both"/>
    </w:pPr>
    <w:rPr>
      <w:rFonts w:ascii="Calibri" w:eastAsia="宋体" w:cs="Arial" w:hAnsi="Calibri"/>
      <w:kern w:val="2"/>
      <w:sz w:val="21"/>
      <w:szCs w:val="22"/>
      <w:lang w:val="en-US" w:eastAsia="zh-CN" w:bidi="ar-SA"/>
    </w:rPr>
  </w:style>
  <w:style w:type="paragraph" w:customStyle="1" w:styleId="44">
    <w:name w:val="样式 16 10 磅"/>
    <w:pPr>
      <w:widowControl w:val="0"/>
      <w:jc w:val="both"/>
    </w:pPr>
    <w:rPr>
      <w:rFonts w:ascii="Calibri" w:eastAsia="宋体" w:cs="Arial" w:hAnsi="Calibri"/>
      <w:kern w:val="2"/>
      <w:sz w:val="21"/>
      <w:szCs w:val="22"/>
      <w:lang w:val="en-US" w:eastAsia="zh-CN" w:bidi="ar-SA"/>
    </w:rPr>
  </w:style>
  <w:style w:type="paragraph" w:customStyle="1" w:styleId="45">
    <w:name w:val="样式 17 10 磅"/>
    <w:pPr>
      <w:widowControl w:val="0"/>
      <w:jc w:val="both"/>
    </w:pPr>
    <w:rPr>
      <w:rFonts w:ascii="Calibri" w:eastAsia="宋体" w:cs="Arial" w:hAnsi="Calibri"/>
      <w:kern w:val="2"/>
      <w:sz w:val="21"/>
      <w:szCs w:val="22"/>
      <w:lang w:val="en-US" w:eastAsia="zh-CN" w:bidi="ar-SA"/>
    </w:rPr>
  </w:style>
  <w:style w:type="paragraph" w:customStyle="1" w:styleId="46">
    <w:name w:val="样式 18 10 磅"/>
    <w:pPr>
      <w:widowControl w:val="0"/>
      <w:jc w:val="both"/>
    </w:pPr>
    <w:rPr>
      <w:rFonts w:ascii="Calibri" w:eastAsia="宋体" w:cs="Arial" w:hAnsi="Calibri"/>
      <w:kern w:val="2"/>
      <w:sz w:val="21"/>
      <w:szCs w:val="22"/>
      <w:lang w:val="en-US" w:eastAsia="zh-CN" w:bidi="ar-SA"/>
    </w:rPr>
  </w:style>
  <w:style w:type="paragraph" w:customStyle="1" w:styleId="47">
    <w:name w:val="样式 19 10 磅"/>
    <w:pPr>
      <w:widowControl w:val="0"/>
      <w:jc w:val="both"/>
    </w:pPr>
    <w:rPr>
      <w:rFonts w:ascii="Calibri" w:eastAsia="宋体" w:cs="Arial" w:hAnsi="Calibri"/>
      <w:kern w:val="2"/>
      <w:sz w:val="21"/>
      <w:szCs w:val="22"/>
      <w:lang w:val="en-US" w:eastAsia="zh-CN" w:bidi="ar-SA"/>
    </w:rPr>
  </w:style>
  <w:style w:type="paragraph" w:customStyle="1" w:styleId="48">
    <w:name w:val="样式 20 10 磅"/>
    <w:pPr>
      <w:widowControl w:val="0"/>
      <w:jc w:val="both"/>
    </w:pPr>
    <w:rPr>
      <w:rFonts w:ascii="Calibri" w:eastAsia="宋体" w:cs="Arial" w:hAnsi="Calibri"/>
      <w:kern w:val="2"/>
      <w:sz w:val="21"/>
      <w:szCs w:val="22"/>
      <w:lang w:val="en-US" w:eastAsia="zh-CN" w:bidi="ar-SA"/>
    </w:rPr>
  </w:style>
  <w:style w:type="paragraph" w:customStyle="1" w:styleId="49">
    <w:name w:val="样式 21 10 磅"/>
    <w:pPr>
      <w:widowControl w:val="0"/>
      <w:jc w:val="both"/>
    </w:pPr>
    <w:rPr>
      <w:rFonts w:ascii="Calibri" w:eastAsia="宋体" w:cs="Arial" w:hAnsi="Calibri"/>
      <w:kern w:val="2"/>
      <w:sz w:val="21"/>
      <w:szCs w:val="22"/>
      <w:lang w:val="en-US" w:eastAsia="zh-CN" w:bidi="ar-SA"/>
    </w:rPr>
  </w:style>
  <w:style w:type="paragraph" w:customStyle="1" w:styleId="50">
    <w:name w:val="样式 22 10 磅"/>
    <w:pPr>
      <w:widowControl w:val="0"/>
      <w:jc w:val="both"/>
    </w:pPr>
    <w:rPr>
      <w:rFonts w:ascii="Calibri" w:eastAsia="宋体" w:cs="Arial" w:hAnsi="Calibri"/>
      <w:kern w:val="2"/>
      <w:sz w:val="21"/>
      <w:szCs w:val="22"/>
      <w:lang w:val="en-US" w:eastAsia="zh-CN" w:bidi="ar-SA"/>
    </w:rPr>
  </w:style>
  <w:style w:type="paragraph" w:customStyle="1" w:styleId="51">
    <w:name w:val="样式 23 10 磅"/>
    <w:pPr>
      <w:widowControl w:val="0"/>
      <w:jc w:val="both"/>
    </w:pPr>
    <w:rPr>
      <w:rFonts w:ascii="Calibri" w:eastAsia="宋体" w:cs="Arial" w:hAnsi="Calibri"/>
      <w:kern w:val="2"/>
      <w:sz w:val="21"/>
      <w:szCs w:val="22"/>
      <w:lang w:val="en-US" w:eastAsia="zh-CN" w:bidi="ar-SA"/>
    </w:rPr>
  </w:style>
  <w:style w:type="paragraph" w:customStyle="1" w:styleId="52">
    <w:name w:val="样式 24 10 磅"/>
    <w:pPr>
      <w:widowControl w:val="0"/>
      <w:jc w:val="both"/>
    </w:pPr>
    <w:rPr>
      <w:rFonts w:ascii="Calibri" w:eastAsia="宋体" w:cs="Arial" w:hAnsi="Calibri"/>
      <w:kern w:val="2"/>
      <w:sz w:val="21"/>
      <w:szCs w:val="22"/>
      <w:lang w:val="en-US" w:eastAsia="zh-CN" w:bidi="ar-SA"/>
    </w:rPr>
  </w:style>
  <w:style w:type="paragraph" w:customStyle="1" w:styleId="53">
    <w:name w:val="样式 25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261</TotalTime>
  <Application>Yozo_Office</Application>
  <Pages>5</Pages>
  <Words>1600</Words>
  <Characters>1602</Characters>
  <Lines>126</Lines>
  <Paragraphs>56</Paragraphs>
  <CharactersWithSpaces>1705</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fgc</dc:creator>
  <cp:lastModifiedBy>王蕊</cp:lastModifiedBy>
  <cp:revision>10</cp:revision>
  <cp:lastPrinted>2019-10-28T00:40:00Z</cp:lastPrinted>
  <dcterms:created xsi:type="dcterms:W3CDTF">2019-10-25T11:34:00Z</dcterms:created>
  <dcterms:modified xsi:type="dcterms:W3CDTF">2019-12-05T03:08:40Z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2052-11.1.0.8765</vt:lpwstr>
  </property>
</Properties>
</file>