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7"/>
        <w:ind w:firstLineChars="200" w:firstLine="880"/>
        <w:jc w:val="center"/>
        <w:rPr>
          <w:rFonts w:ascii="方正小标宋_GBK" w:eastAsia="方正小标宋_GBK" w:hint="eastAsia"/>
          <w:sz w:val="44"/>
          <w:szCs w:val="44"/>
        </w:rPr>
      </w:pPr>
      <w:r>
        <w:rPr>
          <w:rFonts w:ascii="方正小标宋_GBK" w:eastAsia="方正小标宋_GBK" w:hint="eastAsia"/>
          <w:color w:val="auto"/>
          <w:sz w:val="44"/>
          <w:szCs w:val="44"/>
        </w:rPr>
        <w:t>昆明海关（本级机关）2020年政府信息公开工作年度报告</w:t>
      </w:r>
    </w:p>
    <w:p>
      <w:pPr>
        <w:pStyle w:val="17"/>
        <w:ind w:firstLineChars="200" w:firstLine="560"/>
        <w:rPr>
          <w:sz w:val="28"/>
          <w:szCs w:val="28"/>
        </w:rPr>
      </w:pPr>
      <w:r>
        <w:rPr>
          <w:rFonts w:ascii="方正仿宋_gbk" w:eastAsia="方正仿宋_gbk" w:hint="eastAsia"/>
          <w:color w:val="auto"/>
          <w:sz w:val="28"/>
          <w:szCs w:val="28"/>
        </w:rPr>
        <w:t>本年报根据《中华人民共和国政府信息公开条例》</w:t>
      </w:r>
      <w:r>
        <w:rPr>
          <w:rFonts w:ascii="Times new roman" w:hAnsi="Times new roman"/>
          <w:color w:val="auto"/>
          <w:sz w:val="28"/>
          <w:szCs w:val="28"/>
        </w:rPr>
        <w:t>(</w:t>
      </w:r>
      <w:r>
        <w:rPr>
          <w:rFonts w:ascii="方正仿宋_gbk" w:eastAsia="方正仿宋_gbk" w:hint="eastAsia"/>
          <w:color w:val="auto"/>
          <w:sz w:val="28"/>
          <w:szCs w:val="28"/>
        </w:rPr>
        <w:t>以下简称《条例》</w:t>
      </w:r>
      <w:r>
        <w:rPr>
          <w:rFonts w:ascii="Times new roman" w:hAnsi="Times new roman"/>
          <w:color w:val="auto"/>
          <w:sz w:val="28"/>
          <w:szCs w:val="28"/>
        </w:rPr>
        <w:t>)</w:t>
      </w:r>
      <w:r>
        <w:rPr>
          <w:rFonts w:ascii="方正仿宋_gbk" w:eastAsia="方正仿宋_gbk" w:hint="eastAsia"/>
          <w:color w:val="auto"/>
          <w:sz w:val="28"/>
          <w:szCs w:val="28"/>
        </w:rPr>
        <w:t>和《</w:t>
      </w:r>
      <w:r>
        <w:rPr>
          <w:rFonts w:ascii="Times new roman" w:hAnsi="Times new roman"/>
          <w:color w:val="auto"/>
          <w:sz w:val="28"/>
          <w:szCs w:val="28"/>
        </w:rPr>
        <w:t>2020</w:t>
      </w:r>
      <w:r>
        <w:rPr>
          <w:rFonts w:ascii="方正仿宋_gbk" w:eastAsia="方正仿宋_gbk" w:hint="eastAsia"/>
          <w:color w:val="auto"/>
          <w:sz w:val="28"/>
          <w:szCs w:val="28"/>
        </w:rPr>
        <w:t>年海关政务公开工作要点》</w:t>
      </w:r>
      <w:r>
        <w:rPr>
          <w:rFonts w:ascii="Times new roman" w:hAnsi="Times new roman"/>
          <w:color w:val="auto"/>
          <w:sz w:val="28"/>
          <w:szCs w:val="28"/>
        </w:rPr>
        <w:t>(</w:t>
      </w:r>
      <w:r>
        <w:rPr>
          <w:rFonts w:ascii="方正仿宋_gbk" w:eastAsia="方正仿宋_gbk" w:hint="eastAsia"/>
          <w:color w:val="auto"/>
          <w:sz w:val="28"/>
          <w:szCs w:val="28"/>
        </w:rPr>
        <w:t>以下简称《要点》</w:t>
      </w:r>
      <w:r>
        <w:rPr>
          <w:rFonts w:ascii="Times new roman" w:hAnsi="Times new roman"/>
          <w:color w:val="auto"/>
          <w:sz w:val="28"/>
          <w:szCs w:val="28"/>
        </w:rPr>
        <w:t>)</w:t>
      </w:r>
      <w:r>
        <w:rPr>
          <w:rFonts w:ascii="方正仿宋_gbk" w:eastAsia="方正仿宋_gbk" w:hint="eastAsia"/>
          <w:color w:val="auto"/>
          <w:sz w:val="28"/>
          <w:szCs w:val="28"/>
        </w:rPr>
        <w:t>，综合</w:t>
      </w:r>
      <w:r>
        <w:rPr>
          <w:rFonts w:ascii="Times new roman" w:hAnsi="Times new roman"/>
          <w:color w:val="auto"/>
          <w:sz w:val="28"/>
          <w:szCs w:val="28"/>
        </w:rPr>
        <w:t>2020</w:t>
      </w:r>
      <w:r>
        <w:rPr>
          <w:rFonts w:ascii="方正仿宋_gbk" w:eastAsia="方正仿宋_gbk" w:hint="eastAsia"/>
          <w:color w:val="auto"/>
          <w:sz w:val="28"/>
          <w:szCs w:val="28"/>
        </w:rPr>
        <w:t>年昆明海关政府信息公开有关情况编制。</w:t>
      </w:r>
    </w:p>
    <w:p>
      <w:pPr>
        <w:pStyle w:val="17"/>
        <w:ind w:firstLineChars="200" w:firstLine="560"/>
        <w:rPr>
          <w:sz w:val="28"/>
          <w:szCs w:val="28"/>
        </w:rPr>
      </w:pPr>
      <w:r>
        <w:rPr>
          <w:rFonts w:ascii="方正仿宋_gbk" w:eastAsia="方正仿宋_gbk" w:hint="eastAsia"/>
          <w:color w:val="auto"/>
          <w:sz w:val="28"/>
          <w:szCs w:val="28"/>
        </w:rPr>
        <w:t>本年报中所列数据的统计期限自</w:t>
      </w:r>
      <w:r>
        <w:rPr>
          <w:rFonts w:ascii="Times new roman" w:hAnsi="Times new roman"/>
          <w:color w:val="auto"/>
          <w:sz w:val="28"/>
          <w:szCs w:val="28"/>
        </w:rPr>
        <w:t>2020</w:t>
      </w:r>
      <w:r>
        <w:rPr>
          <w:rFonts w:ascii="方正仿宋_gbk" w:eastAsia="方正仿宋_gbk" w:hint="eastAsia"/>
          <w:color w:val="auto"/>
          <w:sz w:val="28"/>
          <w:szCs w:val="28"/>
        </w:rPr>
        <w:t>年</w:t>
      </w:r>
      <w:r>
        <w:rPr>
          <w:rFonts w:ascii="Times new roman" w:hAnsi="Times new roman"/>
          <w:color w:val="auto"/>
          <w:sz w:val="28"/>
          <w:szCs w:val="28"/>
        </w:rPr>
        <w:t>1</w:t>
      </w:r>
      <w:r>
        <w:rPr>
          <w:rFonts w:ascii="方正仿宋_gbk" w:eastAsia="方正仿宋_gbk" w:hint="eastAsia"/>
          <w:color w:val="auto"/>
          <w:sz w:val="28"/>
          <w:szCs w:val="28"/>
        </w:rPr>
        <w:t>月</w:t>
      </w:r>
      <w:r>
        <w:rPr>
          <w:rFonts w:ascii="Times new roman" w:hAnsi="Times new roman"/>
          <w:color w:val="auto"/>
          <w:sz w:val="28"/>
          <w:szCs w:val="28"/>
        </w:rPr>
        <w:t>1</w:t>
      </w:r>
      <w:r>
        <w:rPr>
          <w:rFonts w:ascii="方正仿宋_gbk" w:eastAsia="方正仿宋_gbk" w:hint="eastAsia"/>
          <w:color w:val="auto"/>
          <w:sz w:val="28"/>
          <w:szCs w:val="28"/>
        </w:rPr>
        <w:t>日起至</w:t>
      </w:r>
      <w:r>
        <w:rPr>
          <w:rFonts w:ascii="Times new roman" w:hAnsi="Times new roman"/>
          <w:color w:val="auto"/>
          <w:sz w:val="28"/>
          <w:szCs w:val="28"/>
        </w:rPr>
        <w:t>2020</w:t>
      </w:r>
      <w:r>
        <w:rPr>
          <w:rFonts w:ascii="方正仿宋_gbk" w:eastAsia="方正仿宋_gbk" w:hint="eastAsia"/>
          <w:color w:val="auto"/>
          <w:sz w:val="28"/>
          <w:szCs w:val="28"/>
        </w:rPr>
        <w:t>年</w:t>
      </w:r>
      <w:r>
        <w:rPr>
          <w:rFonts w:ascii="Times new roman" w:hAnsi="Times new roman"/>
          <w:color w:val="auto"/>
          <w:sz w:val="28"/>
          <w:szCs w:val="28"/>
        </w:rPr>
        <w:t>12</w:t>
      </w:r>
      <w:r>
        <w:rPr>
          <w:rFonts w:ascii="方正仿宋_gbk" w:eastAsia="方正仿宋_gbk" w:hint="eastAsia"/>
          <w:color w:val="auto"/>
          <w:sz w:val="28"/>
          <w:szCs w:val="28"/>
        </w:rPr>
        <w:t>月</w:t>
      </w:r>
      <w:r>
        <w:rPr>
          <w:rFonts w:ascii="Times new roman" w:hAnsi="Times new roman"/>
          <w:color w:val="auto"/>
          <w:sz w:val="28"/>
          <w:szCs w:val="28"/>
        </w:rPr>
        <w:t>31</w:t>
      </w:r>
      <w:r>
        <w:rPr>
          <w:rFonts w:ascii="方正仿宋_gbk" w:eastAsia="方正仿宋_gbk" w:hint="eastAsia"/>
          <w:color w:val="auto"/>
          <w:sz w:val="28"/>
          <w:szCs w:val="28"/>
        </w:rPr>
        <w:t>日。本年报主要内容包括：总体情况、主动公开政府信息情况、收到和处理政府信息公开申请情况、政府信息公开行政复议、行政诉讼情况、存在的主要问题及改进情况。</w:t>
      </w:r>
    </w:p>
    <w:p>
      <w:pPr>
        <w:pStyle w:val="17"/>
        <w:ind w:firstLineChars="200" w:firstLine="560"/>
        <w:rPr>
          <w:sz w:val="28"/>
          <w:szCs w:val="28"/>
        </w:rPr>
      </w:pPr>
      <w:r>
        <w:rPr>
          <w:rFonts w:ascii="方正仿宋_gbk" w:eastAsia="方正仿宋_gbk" w:hint="eastAsia"/>
          <w:color w:val="auto"/>
          <w:sz w:val="28"/>
          <w:szCs w:val="28"/>
        </w:rPr>
        <w:t>本年报电子版可在“昆明海关门户网站”获取，网址：</w:t>
      </w:r>
      <w:r>
        <w:rPr>
          <w:rFonts w:ascii="Times new roman" w:hAnsi="Times new roman"/>
          <w:color w:val="auto"/>
          <w:sz w:val="28"/>
          <w:szCs w:val="28"/>
        </w:rPr>
        <w:t>kunming.customs.gov.cn</w:t>
      </w:r>
      <w:r>
        <w:rPr>
          <w:rFonts w:ascii="方正仿宋_gbk" w:eastAsia="方正仿宋_gbk" w:hint="eastAsia"/>
          <w:color w:val="auto"/>
          <w:sz w:val="28"/>
          <w:szCs w:val="28"/>
        </w:rPr>
        <w:t>。</w:t>
      </w:r>
    </w:p>
    <w:p>
      <w:pPr>
        <w:pStyle w:val="17"/>
        <w:ind w:firstLineChars="200" w:firstLine="560"/>
        <w:rPr>
          <w:sz w:val="28"/>
          <w:szCs w:val="28"/>
        </w:rPr>
      </w:pPr>
      <w:r>
        <w:rPr>
          <w:rFonts w:ascii="方正仿宋_gbk" w:eastAsia="方正仿宋_gbk" w:hint="eastAsia"/>
          <w:color w:val="auto"/>
          <w:sz w:val="28"/>
          <w:szCs w:val="28"/>
        </w:rPr>
        <w:t>如对本年报有疑问，请联系：昆明海关办公室。地址：云南省昆明市北京路</w:t>
      </w:r>
      <w:r>
        <w:rPr>
          <w:rFonts w:ascii="Times new roman" w:hAnsi="Times new roman"/>
          <w:color w:val="auto"/>
          <w:sz w:val="28"/>
          <w:szCs w:val="28"/>
        </w:rPr>
        <w:t>618</w:t>
      </w:r>
      <w:r>
        <w:rPr>
          <w:rFonts w:ascii="方正仿宋_gbk" w:eastAsia="方正仿宋_gbk" w:hint="eastAsia"/>
          <w:color w:val="auto"/>
          <w:sz w:val="28"/>
          <w:szCs w:val="28"/>
        </w:rPr>
        <w:t>号昆明海关</w:t>
      </w:r>
      <w:r>
        <w:rPr>
          <w:rFonts w:ascii="Times new roman" w:hAnsi="Times new roman"/>
          <w:color w:val="auto"/>
          <w:sz w:val="28"/>
          <w:szCs w:val="28"/>
        </w:rPr>
        <w:t>1002</w:t>
      </w:r>
      <w:r>
        <w:rPr>
          <w:rFonts w:ascii="方正仿宋_gbk" w:eastAsia="方正仿宋_gbk" w:hint="eastAsia"/>
          <w:color w:val="auto"/>
          <w:sz w:val="28"/>
          <w:szCs w:val="28"/>
        </w:rPr>
        <w:t>室；邮编：</w:t>
      </w:r>
      <w:r>
        <w:rPr>
          <w:rFonts w:ascii="Times new roman" w:hAnsi="Times new roman"/>
          <w:color w:val="auto"/>
          <w:sz w:val="28"/>
          <w:szCs w:val="28"/>
        </w:rPr>
        <w:t>650051</w:t>
      </w:r>
      <w:r>
        <w:rPr>
          <w:rFonts w:ascii="方正仿宋_gbk" w:eastAsia="方正仿宋_gbk" w:hint="eastAsia"/>
          <w:color w:val="auto"/>
          <w:sz w:val="28"/>
          <w:szCs w:val="28"/>
        </w:rPr>
        <w:t>；电话：</w:t>
      </w:r>
      <w:r>
        <w:rPr>
          <w:rFonts w:ascii="Times new roman" w:hAnsi="Times new roman"/>
          <w:color w:val="auto"/>
          <w:sz w:val="28"/>
          <w:szCs w:val="28"/>
        </w:rPr>
        <w:t>0871-63016317</w:t>
      </w:r>
      <w:r>
        <w:rPr>
          <w:rFonts w:ascii="方正仿宋_gbk" w:eastAsia="方正仿宋_gbk" w:hint="eastAsia"/>
          <w:color w:val="auto"/>
          <w:sz w:val="28"/>
          <w:szCs w:val="28"/>
        </w:rPr>
        <w:t>；传真：</w:t>
      </w:r>
      <w:r>
        <w:rPr>
          <w:rFonts w:ascii="Times new roman" w:hAnsi="Times new roman"/>
          <w:color w:val="auto"/>
          <w:sz w:val="28"/>
          <w:szCs w:val="28"/>
        </w:rPr>
        <w:t>0871-63016311</w:t>
      </w:r>
      <w:r>
        <w:rPr>
          <w:rFonts w:ascii="方正仿宋_gbk" w:eastAsia="方正仿宋_gbk" w:hint="eastAsia"/>
          <w:color w:val="auto"/>
          <w:sz w:val="28"/>
          <w:szCs w:val="28"/>
        </w:rPr>
        <w:t>；电子邮箱：</w:t>
      </w:r>
      <w:r>
        <w:rPr>
          <w:rFonts w:ascii="Times new roman" w:hAnsi="Times new roman"/>
          <w:color w:val="auto"/>
          <w:sz w:val="28"/>
          <w:szCs w:val="28"/>
        </w:rPr>
        <w:t>kmhg_gwgk@163.com</w:t>
      </w:r>
      <w:r>
        <w:rPr>
          <w:rFonts w:ascii="方正仿宋_gbk" w:eastAsia="方正仿宋_gbk" w:hint="eastAsia"/>
          <w:color w:val="auto"/>
          <w:sz w:val="28"/>
          <w:szCs w:val="28"/>
        </w:rPr>
        <w:t>。</w:t>
      </w:r>
    </w:p>
    <w:p>
      <w:pPr>
        <w:pStyle w:val="17"/>
        <w:ind w:left="0"/>
        <w:rPr>
          <w:sz w:val="28"/>
          <w:szCs w:val="28"/>
        </w:rPr>
      </w:pPr>
      <w:r>
        <w:rPr>
          <w:rFonts w:ascii="方正黑体_gbk" w:eastAsia="方正黑体_gbk" w:hint="eastAsia"/>
          <w:color w:val="auto"/>
          <w:sz w:val="28"/>
          <w:szCs w:val="28"/>
        </w:rPr>
        <w:t>一、总体情况</w:t>
      </w:r>
    </w:p>
    <w:p>
      <w:pPr>
        <w:pStyle w:val="17"/>
        <w:ind w:firstLineChars="200" w:firstLine="560"/>
        <w:rPr>
          <w:sz w:val="28"/>
          <w:szCs w:val="28"/>
        </w:rPr>
      </w:pPr>
      <w:r>
        <w:rPr>
          <w:rFonts w:ascii="Times new roman" w:hAnsi="Times new roman"/>
          <w:color w:val="auto"/>
          <w:sz w:val="28"/>
          <w:szCs w:val="28"/>
        </w:rPr>
        <w:t>2020</w:t>
      </w:r>
      <w:r>
        <w:rPr>
          <w:rFonts w:ascii="方正仿宋_gbk" w:eastAsia="方正仿宋_gbk" w:hint="eastAsia"/>
          <w:color w:val="auto"/>
          <w:sz w:val="28"/>
          <w:szCs w:val="28"/>
        </w:rPr>
        <w:t>年，昆明海关认真贯彻落实《信访条例》，紧密围绕《</w:t>
      </w:r>
      <w:r>
        <w:rPr>
          <w:rFonts w:ascii="Times new roman" w:hAnsi="Times new roman"/>
          <w:color w:val="auto"/>
          <w:sz w:val="28"/>
          <w:szCs w:val="28"/>
        </w:rPr>
        <w:t>2020</w:t>
      </w:r>
      <w:r>
        <w:rPr>
          <w:rFonts w:ascii="方正仿宋_gbk" w:eastAsia="方正仿宋_gbk" w:hint="eastAsia"/>
          <w:color w:val="auto"/>
          <w:sz w:val="28"/>
          <w:szCs w:val="28"/>
        </w:rPr>
        <w:t>年海关政务公开工作要点》，完善政务公开制度，深入推进重点领域信息公开，有效提升政务公开工作质量和水平。</w:t>
      </w:r>
    </w:p>
    <w:p>
      <w:pPr>
        <w:pStyle w:val="17"/>
        <w:ind w:firstLineChars="200" w:firstLine="560"/>
        <w:rPr>
          <w:sz w:val="28"/>
          <w:szCs w:val="28"/>
        </w:rPr>
      </w:pPr>
      <w:r>
        <w:rPr>
          <w:rFonts w:ascii="方正楷体_gbk" w:eastAsia="方正楷体_gbk" w:hint="eastAsia"/>
          <w:color w:val="auto"/>
          <w:sz w:val="28"/>
          <w:szCs w:val="28"/>
        </w:rPr>
        <w:t>（一）加强组织领导，完善规章制度</w:t>
      </w:r>
    </w:p>
    <w:p>
      <w:pPr>
        <w:pStyle w:val="17"/>
        <w:ind w:firstLineChars="200" w:firstLine="560"/>
        <w:rPr>
          <w:sz w:val="28"/>
          <w:szCs w:val="28"/>
        </w:rPr>
      </w:pPr>
      <w:r>
        <w:rPr>
          <w:rFonts w:ascii="方正仿宋_gbk" w:eastAsia="方正仿宋_gbk" w:hint="eastAsia"/>
          <w:color w:val="auto"/>
          <w:sz w:val="28"/>
          <w:szCs w:val="28"/>
        </w:rPr>
        <w:t>制修订《昆明海关政府信息依申请公开工作规程》《昆明海关政府信息公开保密审查规程》，进一步规范政府信息依申请公开在受理、登记、审核、办理、答复、归档、监督等环节的工作职责，完善台账信息。制定下发《</w:t>
      </w:r>
      <w:r>
        <w:rPr>
          <w:rFonts w:ascii="Times new roman" w:hAnsi="Times new roman"/>
          <w:color w:val="auto"/>
          <w:sz w:val="28"/>
          <w:szCs w:val="28"/>
        </w:rPr>
        <w:t>2020</w:t>
      </w:r>
      <w:r>
        <w:rPr>
          <w:rFonts w:ascii="方正仿宋_gbk" w:eastAsia="方正仿宋_gbk" w:hint="eastAsia"/>
          <w:color w:val="auto"/>
          <w:sz w:val="28"/>
          <w:szCs w:val="28"/>
        </w:rPr>
        <w:t>年昆明海关政务公开工作要点》，进一步明确关区各单位、部门政务公开工作的各项职责和任务。对关区政务公开工作领导小组进行了调整，由关长、党委书记为组长、分管关领导为副组长、有关部门单位主要领导为成员，切实强化政务公开工作的组织领导。</w:t>
      </w:r>
    </w:p>
    <w:p>
      <w:pPr>
        <w:pStyle w:val="17"/>
        <w:ind w:firstLineChars="200" w:firstLine="560"/>
        <w:rPr>
          <w:sz w:val="28"/>
          <w:szCs w:val="28"/>
        </w:rPr>
      </w:pPr>
      <w:r>
        <w:rPr>
          <w:rFonts w:ascii="方正楷体_gbk" w:eastAsia="方正楷体_gbk" w:hint="eastAsia"/>
          <w:color w:val="auto"/>
          <w:sz w:val="28"/>
          <w:szCs w:val="28"/>
        </w:rPr>
        <w:t>（二）增强业务能力，提升服务水平</w:t>
      </w:r>
    </w:p>
    <w:p>
      <w:pPr>
        <w:pStyle w:val="17"/>
        <w:ind w:firstLineChars="200" w:firstLine="560"/>
        <w:rPr>
          <w:sz w:val="28"/>
          <w:szCs w:val="28"/>
        </w:rPr>
      </w:pPr>
      <w:r>
        <w:rPr>
          <w:rFonts w:ascii="方正仿宋_gbk" w:eastAsia="方正仿宋_gbk" w:hint="eastAsia"/>
          <w:color w:val="auto"/>
          <w:sz w:val="28"/>
          <w:szCs w:val="28"/>
        </w:rPr>
        <w:t>整合</w:t>
      </w:r>
      <w:r>
        <w:rPr>
          <w:rFonts w:ascii="Times new roman" w:hAnsi="Times new roman"/>
          <w:color w:val="auto"/>
          <w:sz w:val="28"/>
          <w:szCs w:val="28"/>
        </w:rPr>
        <w:t>12360</w:t>
      </w:r>
      <w:r>
        <w:rPr>
          <w:rFonts w:ascii="方正仿宋_gbk" w:eastAsia="方正仿宋_gbk" w:hint="eastAsia"/>
          <w:color w:val="auto"/>
          <w:sz w:val="28"/>
          <w:szCs w:val="28"/>
        </w:rPr>
        <w:t>海关热线、昆明海关门户网站等各类咨询、信访、投诉、留言的受理渠道，完善政务公开前台受理与各办理部门后台办理的联动机制，对涉及部门多、问题复杂的咨询、留言开展集体“会诊”，有效提升办理质量和服务水平，切实提高回复社会公众相关咨询的准确性和规范性。全年办结政府信息依申请公开事项</w:t>
      </w:r>
      <w:r>
        <w:rPr>
          <w:rFonts w:ascii="Times new roman" w:hAnsi="Times new roman"/>
          <w:color w:val="auto"/>
          <w:sz w:val="28"/>
          <w:szCs w:val="28"/>
        </w:rPr>
        <w:t>11</w:t>
      </w:r>
      <w:r>
        <w:rPr>
          <w:rFonts w:ascii="方正仿宋_gbk" w:eastAsia="方正仿宋_gbk" w:hint="eastAsia"/>
          <w:color w:val="auto"/>
          <w:sz w:val="28"/>
          <w:szCs w:val="28"/>
        </w:rPr>
        <w:t>起，接听热线电话</w:t>
      </w:r>
      <w:r>
        <w:rPr>
          <w:rFonts w:ascii="Times new roman" w:hAnsi="Times new roman"/>
          <w:color w:val="auto"/>
          <w:sz w:val="28"/>
          <w:szCs w:val="28"/>
        </w:rPr>
        <w:t>15020</w:t>
      </w:r>
      <w:r>
        <w:rPr>
          <w:rFonts w:ascii="方正仿宋_gbk" w:eastAsia="方正仿宋_gbk" w:hint="eastAsia"/>
          <w:color w:val="auto"/>
          <w:sz w:val="28"/>
          <w:szCs w:val="28"/>
        </w:rPr>
        <w:t>个，接通率为</w:t>
      </w:r>
      <w:r>
        <w:rPr>
          <w:rFonts w:ascii="Times new roman" w:hAnsi="Times new roman"/>
          <w:color w:val="auto"/>
          <w:sz w:val="28"/>
          <w:szCs w:val="28"/>
        </w:rPr>
        <w:t>97.93%</w:t>
      </w:r>
      <w:r>
        <w:rPr>
          <w:rFonts w:ascii="方正仿宋_gbk" w:eastAsia="方正仿宋_gbk" w:hint="eastAsia"/>
          <w:color w:val="auto"/>
          <w:sz w:val="28"/>
          <w:szCs w:val="28"/>
        </w:rPr>
        <w:t>，当场答复率达</w:t>
      </w:r>
      <w:r>
        <w:rPr>
          <w:rFonts w:ascii="Times new roman" w:hAnsi="Times new roman"/>
          <w:color w:val="auto"/>
          <w:sz w:val="28"/>
          <w:szCs w:val="28"/>
        </w:rPr>
        <w:t>97.39%</w:t>
      </w:r>
      <w:r>
        <w:rPr>
          <w:rFonts w:ascii="方正仿宋_gbk" w:eastAsia="方正仿宋_gbk" w:hint="eastAsia"/>
          <w:color w:val="auto"/>
          <w:sz w:val="28"/>
          <w:szCs w:val="28"/>
        </w:rPr>
        <w:t>；门户网站受理各类咨询、留言</w:t>
      </w:r>
      <w:r>
        <w:rPr>
          <w:rFonts w:ascii="Times new roman" w:hAnsi="Times new roman"/>
          <w:color w:val="auto"/>
          <w:sz w:val="28"/>
          <w:szCs w:val="28"/>
        </w:rPr>
        <w:t>212</w:t>
      </w:r>
      <w:r>
        <w:rPr>
          <w:rFonts w:ascii="方正仿宋_gbk" w:eastAsia="方正仿宋_gbk" w:hint="eastAsia"/>
          <w:color w:val="auto"/>
          <w:sz w:val="28"/>
          <w:szCs w:val="28"/>
        </w:rPr>
        <w:t>条，</w:t>
      </w:r>
      <w:r>
        <w:rPr>
          <w:rFonts w:ascii="Times new roman" w:hAnsi="Times new roman"/>
          <w:color w:val="auto"/>
          <w:sz w:val="28"/>
          <w:szCs w:val="28"/>
        </w:rPr>
        <w:t>12360</w:t>
      </w:r>
      <w:r>
        <w:rPr>
          <w:rFonts w:ascii="方正仿宋_gbk" w:eastAsia="方正仿宋_gbk" w:hint="eastAsia"/>
          <w:color w:val="auto"/>
          <w:sz w:val="28"/>
          <w:szCs w:val="28"/>
        </w:rPr>
        <w:t>热线受理各类投诉求助</w:t>
      </w:r>
      <w:r>
        <w:rPr>
          <w:rFonts w:ascii="Times new roman" w:hAnsi="Times new roman"/>
          <w:color w:val="auto"/>
          <w:sz w:val="28"/>
          <w:szCs w:val="28"/>
        </w:rPr>
        <w:t>19</w:t>
      </w:r>
      <w:r>
        <w:rPr>
          <w:rFonts w:ascii="方正仿宋_gbk" w:eastAsia="方正仿宋_gbk" w:hint="eastAsia"/>
          <w:color w:val="auto"/>
          <w:sz w:val="28"/>
          <w:szCs w:val="28"/>
        </w:rPr>
        <w:t>件，较去年同期分别增加</w:t>
      </w:r>
      <w:r>
        <w:rPr>
          <w:rFonts w:ascii="Times new roman" w:hAnsi="Times new roman"/>
          <w:color w:val="auto"/>
          <w:sz w:val="28"/>
          <w:szCs w:val="28"/>
        </w:rPr>
        <w:t>40.4%</w:t>
      </w:r>
      <w:r>
        <w:rPr>
          <w:rFonts w:ascii="方正仿宋_gbk" w:eastAsia="方正仿宋_gbk" w:hint="eastAsia"/>
          <w:color w:val="auto"/>
          <w:sz w:val="28"/>
          <w:szCs w:val="28"/>
        </w:rPr>
        <w:t>、</w:t>
      </w:r>
      <w:r>
        <w:rPr>
          <w:rFonts w:ascii="Times new roman" w:hAnsi="Times new roman"/>
          <w:color w:val="auto"/>
          <w:sz w:val="28"/>
          <w:szCs w:val="28"/>
        </w:rPr>
        <w:t>22%</w:t>
      </w:r>
      <w:r>
        <w:rPr>
          <w:rFonts w:ascii="方正仿宋_gbk" w:eastAsia="方正仿宋_gbk" w:hint="eastAsia"/>
          <w:color w:val="auto"/>
          <w:sz w:val="28"/>
          <w:szCs w:val="28"/>
        </w:rPr>
        <w:t>，均及时办结反馈。规范“政府信息公开专栏”设置，加强对门户网站的日常巡检，强化值班读网工作，每日开展政府信息检索功能的测试工作，做到系统故障早发现、早上报、早处理，进一步提高网站服务能力。调整信访工作领导小组，完善工作协调机制，妥善化解各类信访纠纷，共处置信访情事</w:t>
      </w:r>
      <w:r>
        <w:rPr>
          <w:rFonts w:ascii="Times new roman" w:hAnsi="Times new roman"/>
          <w:color w:val="auto"/>
          <w:sz w:val="28"/>
          <w:szCs w:val="28"/>
        </w:rPr>
        <w:t>10</w:t>
      </w:r>
      <w:r>
        <w:rPr>
          <w:rFonts w:ascii="方正仿宋_gbk" w:eastAsia="方正仿宋_gbk" w:hint="eastAsia"/>
          <w:color w:val="auto"/>
          <w:sz w:val="28"/>
          <w:szCs w:val="28"/>
        </w:rPr>
        <w:t>项。</w:t>
      </w:r>
    </w:p>
    <w:p>
      <w:pPr>
        <w:pStyle w:val="17"/>
        <w:ind w:firstLineChars="200" w:firstLine="560"/>
        <w:rPr>
          <w:sz w:val="28"/>
          <w:szCs w:val="28"/>
        </w:rPr>
      </w:pPr>
      <w:r>
        <w:rPr>
          <w:rFonts w:ascii="方正楷体_gbk" w:eastAsia="方正楷体_gbk" w:hint="eastAsia"/>
          <w:color w:val="auto"/>
          <w:sz w:val="28"/>
          <w:szCs w:val="28"/>
        </w:rPr>
        <w:t>（三）扩大公开范围，提高工作实效</w:t>
      </w:r>
    </w:p>
    <w:p>
      <w:pPr>
        <w:pStyle w:val="17"/>
        <w:ind w:firstLineChars="200" w:firstLine="560"/>
        <w:rPr>
          <w:sz w:val="28"/>
          <w:szCs w:val="28"/>
        </w:rPr>
      </w:pPr>
      <w:r>
        <w:rPr>
          <w:rFonts w:ascii="方正仿宋_gbk" w:eastAsia="方正仿宋_gbk" w:hint="eastAsia"/>
          <w:color w:val="auto"/>
          <w:sz w:val="28"/>
          <w:szCs w:val="28"/>
        </w:rPr>
        <w:t>在门户网站新建疫情防控和“六稳”“六保”、两会提案办理情况公示、“双随机、一公开”财务预结算信息、公共事件应急预案等</w:t>
      </w:r>
      <w:r>
        <w:rPr>
          <w:rFonts w:ascii="Times new roman" w:hAnsi="Times new roman"/>
          <w:color w:val="auto"/>
          <w:sz w:val="28"/>
          <w:szCs w:val="28"/>
        </w:rPr>
        <w:t>7</w:t>
      </w:r>
      <w:r>
        <w:rPr>
          <w:rFonts w:ascii="方正仿宋_gbk" w:eastAsia="方正仿宋_gbk" w:hint="eastAsia"/>
          <w:color w:val="auto"/>
          <w:sz w:val="28"/>
          <w:szCs w:val="28"/>
        </w:rPr>
        <w:t>个栏目，有效提高政策解读、政策宣讲的能力。优化海关“政府信息公开目录”栏目，进一步完善昆明海关权责清单，主动公开各类突发公共事件应急预案，完成原云南检验检疫局门户网站数据的迁移工作。及时发布新闻动态、双公示、公务员招录、政府采购、涉案财物拍卖等各类信息共计</w:t>
      </w:r>
      <w:r>
        <w:rPr>
          <w:rFonts w:ascii="Times new roman" w:hAnsi="Times new roman"/>
          <w:color w:val="auto"/>
          <w:sz w:val="28"/>
          <w:szCs w:val="28"/>
        </w:rPr>
        <w:t>949</w:t>
      </w:r>
      <w:r>
        <w:rPr>
          <w:rFonts w:ascii="方正仿宋_gbk" w:eastAsia="方正仿宋_gbk" w:hint="eastAsia"/>
          <w:color w:val="auto"/>
          <w:sz w:val="28"/>
          <w:szCs w:val="28"/>
        </w:rPr>
        <w:t>条。紧扣疫情防控、脱贫攻坚等重点工作，开展微视频创作，先后在各类平台发布《守护者》《你的背影》《扶贫路、海关情》《与海关邂逅》《情暖傣乡》等多部微视频；积极编发政策解读新媒体稿件《进口缅甸大米检验检验要求》《牛结节性皮肤病知识与防控要求》《如何分辨几种常见植源性中药材》《生活中常见的危险品及注意事项》《蓝舌病防控知识》等。</w:t>
      </w:r>
    </w:p>
    <w:p>
      <w:pPr>
        <w:pStyle w:val="17"/>
        <w:ind w:firstLineChars="200" w:firstLine="560"/>
        <w:rPr>
          <w:sz w:val="28"/>
          <w:szCs w:val="28"/>
        </w:rPr>
      </w:pPr>
      <w:r>
        <w:rPr>
          <w:rFonts w:ascii="方正楷体_gbk" w:eastAsia="方正楷体_gbk" w:hint="eastAsia"/>
          <w:color w:val="auto"/>
          <w:sz w:val="28"/>
          <w:szCs w:val="28"/>
        </w:rPr>
        <w:t>（四）强化责任落实，提升工作效能。</w:t>
      </w:r>
    </w:p>
    <w:p>
      <w:pPr>
        <w:pStyle w:val="17"/>
        <w:ind w:firstLineChars="200" w:firstLine="560"/>
        <w:rPr>
          <w:sz w:val="28"/>
          <w:szCs w:val="28"/>
        </w:rPr>
      </w:pPr>
      <w:r>
        <w:rPr>
          <w:rFonts w:ascii="方正仿宋_gbk" w:eastAsia="方正仿宋_gbk" w:hint="eastAsia"/>
          <w:color w:val="auto"/>
          <w:sz w:val="28"/>
          <w:szCs w:val="28"/>
        </w:rPr>
        <w:t>加大对关内各部门、隶属海关政务公开工作的指导和督促力度，开展关区政务公开工作情况季度通报，及时跟踪整改情况。结合关区实际，把关内各部门、各隶属海关政务公开工作情况纳入年度考核。压实基层政务公开主体责任，加强对隶属海关在政府信息公开重点工作的指导力度，积极推进基层政务公开标准化规范化工作。</w:t>
      </w:r>
    </w:p>
    <w:p>
      <w:pPr>
        <w:pStyle w:val="17"/>
        <w:ind w:left="0"/>
        <w:rPr>
          <w:sz w:val="28"/>
          <w:szCs w:val="28"/>
        </w:rPr>
      </w:pPr>
      <w:r>
        <w:rPr>
          <w:rFonts w:ascii="方正黑体_gbk" w:eastAsia="方正黑体_gbk" w:hint="eastAsia"/>
          <w:color w:val="auto"/>
          <w:sz w:val="28"/>
          <w:szCs w:val="28"/>
        </w:rPr>
        <w:t>二、主动公开政府信息情况</w:t>
      </w:r>
    </w:p>
    <w:tbl>
      <w:tblPr>
        <w:jc w:val="center"/>
        <w:tblW w:w="9000"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CellMar>
          <w:top w:w="0" w:type="dxa"/>
          <w:left w:w="0" w:type="dxa"/>
          <w:bottom w:w="0" w:type="dxa"/>
          <w:right w:w="0" w:type="dxa"/>
        </w:tblCellMar>
      </w:tblPr>
      <w:tblGrid>
        <w:gridCol w:w="2715"/>
        <w:gridCol w:w="2190"/>
        <w:gridCol w:w="1935"/>
        <w:gridCol w:w="2160"/>
      </w:tblGrid>
      <w:tr>
        <w:tc>
          <w:tcPr>
            <w:tcW w:w="9000" w:type="dxa"/>
            <w:gridSpan w:val="4"/>
            <w:tcBorders>
              <w:top w:val="single" w:sz="6" w:space="0" w:color="auto"/>
              <w:left w:val="single" w:sz="6" w:space="0" w:color="auto"/>
              <w:bottom w:val="single" w:sz="6" w:space="0" w:color="auto"/>
              <w:right w:val="single" w:sz="6" w:space="0" w:color="auto"/>
              <w:tl2br w:val="nil"/>
              <w:tr2bl w:val="nil"/>
            </w:tcBorders>
            <w:shd w:val="clear" w:color="auto" w:fill="C6D9F1"/>
            <w:vAlign w:val="center"/>
          </w:tcPr>
          <w:p>
            <w:pPr>
              <w:pStyle w:val="17"/>
              <w:ind w:left="0"/>
              <w:rPr>
                <w:vanish w:val="0"/>
              </w:rPr>
            </w:pPr>
            <w:r>
              <w:rPr>
                <w:rFonts w:ascii="宋体" w:eastAsia="宋体" w:hint="eastAsia"/>
                <w:vanish w:val="0"/>
                <w:color w:val="auto"/>
                <w:sz w:val="24"/>
                <w:szCs w:val="24"/>
              </w:rPr>
              <w:t>第二十条第（一）项</w:t>
            </w:r>
          </w:p>
        </w:tc>
      </w:tr>
      <w:tr>
        <w:tc>
          <w:tcPr>
            <w:tcW w:w="2715" w:type="dxa"/>
            <w:tcBorders>
              <w:left w:val="single" w:sz="6" w:space="0" w:color="auto"/>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信息内容</w:t>
            </w:r>
          </w:p>
        </w:tc>
        <w:tc>
          <w:tcPr>
            <w:tcW w:w="2190" w:type="dxa"/>
            <w:tcBorders>
              <w:top w:val="single" w:sz="6" w:space="0" w:color="auto"/>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本年新制作数量</w:t>
            </w:r>
          </w:p>
        </w:tc>
        <w:tc>
          <w:tcPr>
            <w:tcW w:w="1935" w:type="dxa"/>
            <w:tcBorders>
              <w:top w:val="single" w:sz="6" w:space="0" w:color="auto"/>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本年新公开数量</w:t>
            </w:r>
          </w:p>
        </w:tc>
        <w:tc>
          <w:tcPr>
            <w:tcW w:w="2160" w:type="dxa"/>
            <w:tcBorders>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对外公开总数量</w:t>
            </w:r>
          </w:p>
        </w:tc>
      </w:tr>
      <w:tr>
        <w:tc>
          <w:tcPr>
            <w:tcW w:w="2715" w:type="dxa"/>
            <w:tcBorders>
              <w:left w:val="single" w:sz="6" w:space="0" w:color="auto"/>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规章</w:t>
            </w:r>
          </w:p>
        </w:tc>
        <w:tc>
          <w:tcPr>
            <w:tcW w:w="2190"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0</w:t>
            </w:r>
          </w:p>
        </w:tc>
        <w:tc>
          <w:tcPr>
            <w:tcW w:w="1935"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0</w:t>
            </w:r>
          </w:p>
        </w:tc>
        <w:tc>
          <w:tcPr>
            <w:tcW w:w="2160"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0</w:t>
            </w:r>
          </w:p>
        </w:tc>
      </w:tr>
      <w:tr>
        <w:tc>
          <w:tcPr>
            <w:tcW w:w="2715" w:type="dxa"/>
            <w:tcBorders>
              <w:left w:val="single" w:sz="6" w:space="0" w:color="auto"/>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规范性文件</w:t>
            </w:r>
          </w:p>
        </w:tc>
        <w:tc>
          <w:tcPr>
            <w:tcW w:w="2190"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4</w:t>
            </w:r>
          </w:p>
        </w:tc>
        <w:tc>
          <w:tcPr>
            <w:tcW w:w="1935"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4</w:t>
            </w:r>
          </w:p>
        </w:tc>
        <w:tc>
          <w:tcPr>
            <w:tcW w:w="2160"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12</w:t>
            </w:r>
          </w:p>
        </w:tc>
      </w:tr>
      <w:tr>
        <w:tc>
          <w:tcPr>
            <w:tcW w:w="9000" w:type="dxa"/>
            <w:gridSpan w:val="4"/>
            <w:tcBorders>
              <w:left w:val="single" w:sz="6" w:space="0" w:color="auto"/>
              <w:bottom w:val="single" w:sz="6" w:space="0" w:color="auto"/>
              <w:right w:val="single" w:sz="6" w:space="0" w:color="auto"/>
              <w:tl2br w:val="nil"/>
              <w:tr2bl w:val="nil"/>
            </w:tcBorders>
            <w:shd w:val="clear" w:color="auto" w:fill="C6D9F1"/>
            <w:vAlign w:val="center"/>
          </w:tcPr>
          <w:p>
            <w:pPr>
              <w:pStyle w:val="17"/>
              <w:ind w:left="0"/>
              <w:rPr>
                <w:vanish w:val="0"/>
              </w:rPr>
            </w:pPr>
            <w:r>
              <w:rPr>
                <w:rFonts w:ascii="宋体" w:eastAsia="宋体" w:hint="eastAsia"/>
                <w:vanish w:val="0"/>
                <w:color w:val="auto"/>
                <w:sz w:val="24"/>
                <w:szCs w:val="24"/>
              </w:rPr>
              <w:t>第二十条第（五）项</w:t>
            </w:r>
          </w:p>
        </w:tc>
      </w:tr>
      <w:tr>
        <w:tc>
          <w:tcPr>
            <w:tcW w:w="2715" w:type="dxa"/>
            <w:tcBorders>
              <w:left w:val="single" w:sz="6" w:space="0" w:color="auto"/>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信息内容</w:t>
            </w:r>
          </w:p>
        </w:tc>
        <w:tc>
          <w:tcPr>
            <w:tcW w:w="2190" w:type="dxa"/>
            <w:tcBorders>
              <w:top w:val="single" w:sz="6" w:space="0" w:color="auto"/>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本年项目数量</w:t>
            </w:r>
          </w:p>
        </w:tc>
        <w:tc>
          <w:tcPr>
            <w:tcW w:w="1935" w:type="dxa"/>
            <w:tcBorders>
              <w:top w:val="single" w:sz="6" w:space="0" w:color="auto"/>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相比上年增</w:t>
            </w:r>
            <w:r>
              <w:rPr>
                <w:rFonts w:ascii="Times new roman" w:hAnsi="Times new roman"/>
                <w:vanish w:val="0"/>
                <w:color w:val="auto"/>
                <w:sz w:val="24"/>
                <w:szCs w:val="24"/>
              </w:rPr>
              <w:t>/</w:t>
            </w:r>
            <w:r>
              <w:rPr>
                <w:rFonts w:ascii="宋体" w:eastAsia="宋体" w:hint="eastAsia"/>
                <w:vanish w:val="0"/>
                <w:color w:val="auto"/>
                <w:sz w:val="24"/>
                <w:szCs w:val="24"/>
              </w:rPr>
              <w:t>减</w:t>
            </w:r>
          </w:p>
        </w:tc>
        <w:tc>
          <w:tcPr>
            <w:tcW w:w="2160" w:type="dxa"/>
            <w:tcBorders>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处理决定数量</w:t>
            </w:r>
          </w:p>
        </w:tc>
      </w:tr>
      <w:tr>
        <w:tc>
          <w:tcPr>
            <w:tcW w:w="2715" w:type="dxa"/>
            <w:tcBorders>
              <w:left w:val="single" w:sz="6" w:space="0" w:color="auto"/>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行政许可</w:t>
            </w:r>
          </w:p>
        </w:tc>
        <w:tc>
          <w:tcPr>
            <w:tcW w:w="2190"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14</w:t>
            </w:r>
          </w:p>
        </w:tc>
        <w:tc>
          <w:tcPr>
            <w:tcW w:w="1935"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+6</w:t>
            </w:r>
          </w:p>
        </w:tc>
        <w:tc>
          <w:tcPr>
            <w:tcW w:w="2160"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1147</w:t>
            </w:r>
          </w:p>
        </w:tc>
      </w:tr>
      <w:tr>
        <w:tc>
          <w:tcPr>
            <w:tcW w:w="9000" w:type="dxa"/>
            <w:gridSpan w:val="4"/>
            <w:tcBorders>
              <w:left w:val="single" w:sz="6" w:space="0" w:color="auto"/>
              <w:bottom w:val="single" w:sz="6" w:space="0" w:color="auto"/>
              <w:right w:val="single" w:sz="6" w:space="0" w:color="auto"/>
              <w:tl2br w:val="nil"/>
              <w:tr2bl w:val="nil"/>
            </w:tcBorders>
            <w:shd w:val="clear" w:color="auto" w:fill="C6D9F1"/>
            <w:vAlign w:val="center"/>
          </w:tcPr>
          <w:p>
            <w:pPr>
              <w:pStyle w:val="17"/>
              <w:ind w:left="0"/>
              <w:rPr>
                <w:vanish w:val="0"/>
              </w:rPr>
            </w:pPr>
            <w:r>
              <w:rPr>
                <w:rFonts w:ascii="宋体" w:eastAsia="宋体" w:hint="eastAsia"/>
                <w:vanish w:val="0"/>
                <w:color w:val="auto"/>
                <w:sz w:val="24"/>
                <w:szCs w:val="24"/>
              </w:rPr>
              <w:t>第二十条第（六）项</w:t>
            </w:r>
          </w:p>
        </w:tc>
      </w:tr>
      <w:tr>
        <w:tc>
          <w:tcPr>
            <w:tcW w:w="2715" w:type="dxa"/>
            <w:tcBorders>
              <w:left w:val="single" w:sz="6" w:space="0" w:color="auto"/>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信息内容</w:t>
            </w:r>
          </w:p>
        </w:tc>
        <w:tc>
          <w:tcPr>
            <w:tcW w:w="2190" w:type="dxa"/>
            <w:tcBorders>
              <w:top w:val="single" w:sz="6" w:space="0" w:color="auto"/>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本年项目数量</w:t>
            </w:r>
          </w:p>
        </w:tc>
        <w:tc>
          <w:tcPr>
            <w:tcW w:w="1935" w:type="dxa"/>
            <w:tcBorders>
              <w:top w:val="single" w:sz="6" w:space="0" w:color="auto"/>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相比上年增</w:t>
            </w:r>
            <w:r>
              <w:rPr>
                <w:rFonts w:ascii="Times new roman" w:hAnsi="Times new roman"/>
                <w:vanish w:val="0"/>
                <w:color w:val="auto"/>
                <w:sz w:val="24"/>
                <w:szCs w:val="24"/>
              </w:rPr>
              <w:t>/</w:t>
            </w:r>
            <w:r>
              <w:rPr>
                <w:rFonts w:ascii="宋体" w:eastAsia="宋体" w:hint="eastAsia"/>
                <w:vanish w:val="0"/>
                <w:color w:val="auto"/>
                <w:sz w:val="24"/>
                <w:szCs w:val="24"/>
              </w:rPr>
              <w:t>减</w:t>
            </w:r>
          </w:p>
        </w:tc>
        <w:tc>
          <w:tcPr>
            <w:tcW w:w="2160" w:type="dxa"/>
            <w:tcBorders>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处理决定数量</w:t>
            </w:r>
          </w:p>
        </w:tc>
      </w:tr>
      <w:tr>
        <w:tc>
          <w:tcPr>
            <w:tcW w:w="2715" w:type="dxa"/>
            <w:tcBorders>
              <w:left w:val="single" w:sz="6" w:space="0" w:color="auto"/>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行政处罚</w:t>
            </w:r>
          </w:p>
        </w:tc>
        <w:tc>
          <w:tcPr>
            <w:tcW w:w="2190"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3</w:t>
            </w:r>
          </w:p>
        </w:tc>
        <w:tc>
          <w:tcPr>
            <w:tcW w:w="1935"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0</w:t>
            </w:r>
          </w:p>
        </w:tc>
        <w:tc>
          <w:tcPr>
            <w:tcW w:w="2160"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19</w:t>
            </w:r>
          </w:p>
        </w:tc>
      </w:tr>
      <w:tr>
        <w:tc>
          <w:tcPr>
            <w:tcW w:w="2715" w:type="dxa"/>
            <w:tcBorders>
              <w:left w:val="single" w:sz="6" w:space="0" w:color="auto"/>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行政强制</w:t>
            </w:r>
          </w:p>
        </w:tc>
        <w:tc>
          <w:tcPr>
            <w:tcW w:w="2190"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5</w:t>
            </w:r>
          </w:p>
        </w:tc>
        <w:tc>
          <w:tcPr>
            <w:tcW w:w="1935"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0</w:t>
            </w:r>
          </w:p>
        </w:tc>
        <w:tc>
          <w:tcPr>
            <w:tcW w:w="2160"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0</w:t>
            </w:r>
          </w:p>
        </w:tc>
      </w:tr>
      <w:tr>
        <w:tc>
          <w:tcPr>
            <w:tcW w:w="9000" w:type="dxa"/>
            <w:gridSpan w:val="4"/>
            <w:tcBorders>
              <w:left w:val="single" w:sz="6" w:space="0" w:color="auto"/>
              <w:bottom w:val="single" w:sz="6" w:space="0" w:color="auto"/>
              <w:right w:val="single" w:sz="6" w:space="0" w:color="auto"/>
              <w:tl2br w:val="nil"/>
              <w:tr2bl w:val="nil"/>
            </w:tcBorders>
            <w:shd w:val="clear" w:color="auto" w:fill="C6D9F1"/>
            <w:vAlign w:val="center"/>
          </w:tcPr>
          <w:p>
            <w:pPr>
              <w:pStyle w:val="17"/>
              <w:ind w:left="0"/>
              <w:rPr>
                <w:vanish w:val="0"/>
              </w:rPr>
            </w:pPr>
            <w:r>
              <w:rPr>
                <w:rFonts w:ascii="宋体" w:eastAsia="宋体" w:hint="eastAsia"/>
                <w:vanish w:val="0"/>
                <w:color w:val="auto"/>
                <w:sz w:val="24"/>
                <w:szCs w:val="24"/>
              </w:rPr>
              <w:t>第二十条第（八）项</w:t>
            </w:r>
          </w:p>
        </w:tc>
      </w:tr>
      <w:tr>
        <w:tc>
          <w:tcPr>
            <w:tcW w:w="2715" w:type="dxa"/>
            <w:tcBorders>
              <w:left w:val="single" w:sz="6" w:space="0" w:color="auto"/>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信息内容</w:t>
            </w:r>
          </w:p>
        </w:tc>
        <w:tc>
          <w:tcPr>
            <w:tcW w:w="2190" w:type="dxa"/>
            <w:tcBorders>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本年项目数量</w:t>
            </w:r>
          </w:p>
        </w:tc>
        <w:tc>
          <w:tcPr>
            <w:tcW w:w="4095" w:type="dxa"/>
            <w:gridSpan w:val="2"/>
            <w:tcBorders>
              <w:top w:val="single" w:sz="6" w:space="0" w:color="auto"/>
              <w:bottom w:val="single" w:sz="6" w:space="0" w:color="auto"/>
              <w:right w:val="single" w:sz="6" w:space="0" w:color="000000"/>
              <w:tl2br w:val="nil"/>
              <w:tr2bl w:val="nil"/>
            </w:tcBorders>
            <w:vAlign w:val="center"/>
          </w:tcPr>
          <w:p>
            <w:pPr>
              <w:pStyle w:val="17"/>
              <w:ind w:left="0"/>
              <w:rPr>
                <w:vanish w:val="0"/>
              </w:rPr>
            </w:pPr>
            <w:r>
              <w:rPr>
                <w:rFonts w:ascii="宋体" w:eastAsia="宋体" w:hint="eastAsia"/>
                <w:vanish w:val="0"/>
                <w:color w:val="auto"/>
                <w:sz w:val="24"/>
                <w:szCs w:val="24"/>
              </w:rPr>
              <w:t>相比上年增</w:t>
            </w:r>
            <w:r>
              <w:rPr>
                <w:rFonts w:ascii="Times new roman" w:hAnsi="Times new roman"/>
                <w:vanish w:val="0"/>
                <w:color w:val="auto"/>
                <w:sz w:val="24"/>
                <w:szCs w:val="24"/>
              </w:rPr>
              <w:t>/</w:t>
            </w:r>
            <w:r>
              <w:rPr>
                <w:rFonts w:ascii="宋体" w:eastAsia="宋体" w:hint="eastAsia"/>
                <w:vanish w:val="0"/>
                <w:color w:val="auto"/>
                <w:sz w:val="24"/>
                <w:szCs w:val="24"/>
              </w:rPr>
              <w:t>减</w:t>
            </w:r>
          </w:p>
        </w:tc>
      </w:tr>
      <w:tr>
        <w:tc>
          <w:tcPr>
            <w:tcW w:w="2715" w:type="dxa"/>
            <w:tcBorders>
              <w:left w:val="single" w:sz="6" w:space="0" w:color="auto"/>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行政事业性收费</w:t>
            </w:r>
          </w:p>
        </w:tc>
        <w:tc>
          <w:tcPr>
            <w:tcW w:w="2190"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0</w:t>
            </w:r>
          </w:p>
        </w:tc>
        <w:tc>
          <w:tcPr>
            <w:tcW w:w="4095" w:type="dxa"/>
            <w:gridSpan w:val="2"/>
            <w:tcBorders>
              <w:bottom w:val="single" w:sz="6" w:space="0" w:color="auto"/>
              <w:right w:val="single" w:sz="6" w:space="0" w:color="000000"/>
              <w:tl2br w:val="nil"/>
              <w:tr2bl w:val="nil"/>
            </w:tcBorders>
            <w:vAlign w:val="center"/>
          </w:tcPr>
          <w:p>
            <w:pPr>
              <w:pStyle w:val="17"/>
              <w:ind w:left="0"/>
              <w:rPr>
                <w:vanish w:val="0"/>
              </w:rPr>
            </w:pPr>
            <w:r>
              <w:rPr>
                <w:rFonts w:ascii="Times new roman" w:hAnsi="Times new roman"/>
                <w:vanish w:val="0"/>
                <w:color w:val="auto"/>
                <w:sz w:val="24"/>
                <w:szCs w:val="24"/>
              </w:rPr>
              <w:t>0</w:t>
            </w:r>
          </w:p>
        </w:tc>
      </w:tr>
      <w:tr>
        <w:tc>
          <w:tcPr>
            <w:tcW w:w="9000" w:type="dxa"/>
            <w:gridSpan w:val="4"/>
            <w:tcBorders>
              <w:left w:val="single" w:sz="6" w:space="0" w:color="auto"/>
              <w:bottom w:val="single" w:sz="6" w:space="0" w:color="auto"/>
              <w:right w:val="single" w:sz="6" w:space="0" w:color="auto"/>
              <w:tl2br w:val="nil"/>
              <w:tr2bl w:val="nil"/>
            </w:tcBorders>
            <w:shd w:val="clear" w:color="auto" w:fill="C6D9F1"/>
            <w:vAlign w:val="center"/>
          </w:tcPr>
          <w:p>
            <w:pPr>
              <w:pStyle w:val="17"/>
              <w:ind w:left="0"/>
              <w:rPr>
                <w:vanish w:val="0"/>
              </w:rPr>
            </w:pPr>
            <w:r>
              <w:rPr>
                <w:rFonts w:ascii="宋体" w:eastAsia="宋体" w:hint="eastAsia"/>
                <w:vanish w:val="0"/>
                <w:color w:val="auto"/>
                <w:sz w:val="24"/>
                <w:szCs w:val="24"/>
              </w:rPr>
              <w:t>第二十条第（九）项</w:t>
            </w:r>
          </w:p>
        </w:tc>
      </w:tr>
      <w:tr>
        <w:tc>
          <w:tcPr>
            <w:tcW w:w="2715" w:type="dxa"/>
            <w:tcBorders>
              <w:left w:val="single" w:sz="6" w:space="0" w:color="auto"/>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信息内容</w:t>
            </w:r>
          </w:p>
        </w:tc>
        <w:tc>
          <w:tcPr>
            <w:tcW w:w="2190" w:type="dxa"/>
            <w:tcBorders>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采购项目数量</w:t>
            </w:r>
          </w:p>
        </w:tc>
        <w:tc>
          <w:tcPr>
            <w:tcW w:w="4095" w:type="dxa"/>
            <w:gridSpan w:val="2"/>
            <w:tcBorders>
              <w:top w:val="single" w:sz="6" w:space="0" w:color="auto"/>
              <w:bottom w:val="single" w:sz="6" w:space="0" w:color="auto"/>
              <w:right w:val="single" w:sz="6" w:space="0" w:color="000000"/>
              <w:tl2br w:val="nil"/>
              <w:tr2bl w:val="nil"/>
            </w:tcBorders>
            <w:vAlign w:val="center"/>
          </w:tcPr>
          <w:p>
            <w:pPr>
              <w:pStyle w:val="17"/>
              <w:ind w:left="0"/>
              <w:rPr>
                <w:vanish w:val="0"/>
              </w:rPr>
            </w:pPr>
            <w:r>
              <w:rPr>
                <w:rFonts w:ascii="宋体" w:eastAsia="宋体" w:hint="eastAsia"/>
                <w:vanish w:val="0"/>
                <w:color w:val="auto"/>
                <w:sz w:val="24"/>
                <w:szCs w:val="24"/>
              </w:rPr>
              <w:t>采购总金额（万元）</w:t>
            </w:r>
          </w:p>
        </w:tc>
      </w:tr>
      <w:tr>
        <w:tc>
          <w:tcPr>
            <w:tcW w:w="2715" w:type="dxa"/>
            <w:tcBorders>
              <w:left w:val="single" w:sz="6" w:space="0" w:color="auto"/>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政府集中采购</w:t>
            </w:r>
          </w:p>
        </w:tc>
        <w:tc>
          <w:tcPr>
            <w:tcW w:w="2190"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28</w:t>
            </w:r>
          </w:p>
        </w:tc>
        <w:tc>
          <w:tcPr>
            <w:tcW w:w="4095" w:type="dxa"/>
            <w:gridSpan w:val="2"/>
            <w:tcBorders>
              <w:bottom w:val="single" w:sz="6" w:space="0" w:color="auto"/>
              <w:right w:val="single" w:sz="6" w:space="0" w:color="000000"/>
              <w:tl2br w:val="nil"/>
              <w:tr2bl w:val="nil"/>
            </w:tcBorders>
            <w:vAlign w:val="center"/>
          </w:tcPr>
          <w:p>
            <w:pPr>
              <w:pStyle w:val="17"/>
              <w:ind w:left="0"/>
              <w:rPr>
                <w:vanish w:val="0"/>
              </w:rPr>
            </w:pPr>
            <w:r>
              <w:rPr>
                <w:rFonts w:ascii="Times new roman" w:hAnsi="Times new roman"/>
                <w:vanish w:val="0"/>
                <w:color w:val="auto"/>
                <w:sz w:val="24"/>
                <w:szCs w:val="24"/>
              </w:rPr>
              <w:t>7353.53</w:t>
            </w:r>
          </w:p>
        </w:tc>
      </w:tr>
    </w:tbl>
    <w:p>
      <w:pPr>
        <w:pStyle w:val="17"/>
        <w:ind w:left="0"/>
        <w:rPr>
          <w:sz w:val="28"/>
          <w:szCs w:val="28"/>
        </w:rPr>
      </w:pPr>
      <w:r>
        <w:rPr>
          <w:rFonts w:ascii="方正黑体_gbk" w:eastAsia="方正黑体_gbk" w:hint="eastAsia"/>
          <w:color w:val="auto"/>
          <w:sz w:val="28"/>
          <w:szCs w:val="28"/>
        </w:rPr>
        <w:t>三、收到和处理政府信息公开申请情况</w:t>
      </w:r>
    </w:p>
    <w:tbl>
      <w:tblPr>
        <w:jc w:val="center"/>
        <w:tblW w:w="9075"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CellMar>
          <w:top w:w="0" w:type="dxa"/>
          <w:left w:w="0" w:type="dxa"/>
          <w:bottom w:w="0" w:type="dxa"/>
          <w:right w:w="0" w:type="dxa"/>
        </w:tblCellMar>
      </w:tblPr>
      <w:tblGrid>
        <w:gridCol w:w="690"/>
        <w:gridCol w:w="930"/>
        <w:gridCol w:w="2685"/>
        <w:gridCol w:w="630"/>
        <w:gridCol w:w="675"/>
        <w:gridCol w:w="750"/>
        <w:gridCol w:w="765"/>
        <w:gridCol w:w="765"/>
        <w:gridCol w:w="495"/>
        <w:gridCol w:w="690"/>
      </w:tblGrid>
      <w:tr>
        <w:trPr>
          <w:tblHeader/>
        </w:trPr>
        <w:tc>
          <w:tcPr>
            <w:tcW w:w="4305" w:type="dxa"/>
            <w:gridSpan w:val="3"/>
            <w:vMerge w:val="restart"/>
            <w:tcBorders>
              <w:top w:val="single" w:sz="6" w:space="0" w:color="auto"/>
              <w:left w:val="single" w:sz="6" w:space="0" w:color="auto"/>
              <w:bottom w:val="single" w:sz="6" w:space="0" w:color="auto"/>
              <w:right w:val="single" w:sz="6" w:space="0" w:color="auto"/>
              <w:tl2br w:val="nil"/>
              <w:tr2bl w:val="nil"/>
            </w:tcBorders>
            <w:vAlign w:val="center"/>
          </w:tcPr>
          <w:p>
            <w:pPr>
              <w:pStyle w:val="17"/>
              <w:ind w:left="0"/>
              <w:jc w:val="center"/>
              <w:rPr>
                <w:b/>
                <w:vanish w:val="0"/>
              </w:rPr>
            </w:pPr>
            <w:r>
              <w:rPr>
                <w:rFonts w:ascii="宋体" w:eastAsia="宋体" w:hint="eastAsia"/>
                <w:b/>
                <w:vanish w:val="0"/>
                <w:color w:val="auto"/>
                <w:sz w:val="20"/>
                <w:szCs w:val="20"/>
              </w:rPr>
              <w:t>（本列数据的勾稽关系为：第一项加第二项之和，等于第三项加第四项之和）</w:t>
            </w:r>
          </w:p>
        </w:tc>
        <w:tc>
          <w:tcPr>
            <w:tcW w:w="4770" w:type="dxa"/>
            <w:gridSpan w:val="7"/>
            <w:tcBorders>
              <w:top w:val="single" w:sz="6" w:space="0" w:color="auto"/>
              <w:bottom w:val="single" w:sz="6" w:space="0" w:color="auto"/>
              <w:right w:val="single" w:sz="6" w:space="0" w:color="auto"/>
              <w:tl2br w:val="nil"/>
              <w:tr2bl w:val="nil"/>
            </w:tcBorders>
            <w:vAlign w:val="center"/>
          </w:tcPr>
          <w:p>
            <w:pPr>
              <w:pStyle w:val="17"/>
              <w:ind w:left="0"/>
              <w:jc w:val="center"/>
              <w:rPr>
                <w:b/>
                <w:vanish w:val="0"/>
              </w:rPr>
            </w:pPr>
            <w:r>
              <w:rPr>
                <w:rFonts w:ascii="宋体" w:eastAsia="宋体" w:hint="eastAsia"/>
                <w:b/>
                <w:vanish w:val="0"/>
                <w:color w:val="auto"/>
                <w:sz w:val="20"/>
                <w:szCs w:val="20"/>
              </w:rPr>
              <w:t>申请人情况</w:t>
            </w:r>
          </w:p>
        </w:tc>
      </w:tr>
      <w:tr>
        <w:trPr>
          <w:tblHeader/>
        </w:trPr>
        <w:tc>
          <w:tcPr>
            <w:tcW w:w="4453" w:type="dxa"/>
            <w:gridSpan w:val="3"/>
            <w:vMerge/>
            <w:tcBorders>
              <w:top w:val="single" w:sz="6" w:space="0" w:color="auto"/>
              <w:left w:val="single" w:sz="6" w:space="0" w:color="auto"/>
              <w:bottom w:val="single" w:sz="6" w:space="0" w:color="auto"/>
              <w:right w:val="single" w:sz="6" w:space="0" w:color="auto"/>
              <w:tl2br w:val="nil"/>
              <w:tr2bl w:val="nil"/>
            </w:tcBorders>
            <w:vAlign w:val="center"/>
          </w:tcPr>
          <w:p/>
        </w:tc>
        <w:tc>
          <w:tcPr>
            <w:tcW w:w="630" w:type="dxa"/>
            <w:vMerge w:val="restart"/>
            <w:tcBorders>
              <w:bottom w:val="single" w:sz="6" w:space="0" w:color="auto"/>
              <w:right w:val="single" w:sz="6" w:space="0" w:color="auto"/>
              <w:tl2br w:val="nil"/>
              <w:tr2bl w:val="nil"/>
            </w:tcBorders>
            <w:vAlign w:val="center"/>
          </w:tcPr>
          <w:p>
            <w:pPr>
              <w:pStyle w:val="17"/>
              <w:ind w:left="0"/>
              <w:jc w:val="center"/>
              <w:rPr>
                <w:b/>
                <w:vanish w:val="0"/>
              </w:rPr>
            </w:pPr>
            <w:r>
              <w:rPr>
                <w:rFonts w:ascii="宋体" w:eastAsia="宋体" w:hint="eastAsia"/>
                <w:b/>
                <w:vanish w:val="0"/>
                <w:color w:val="auto"/>
                <w:sz w:val="20"/>
                <w:szCs w:val="20"/>
              </w:rPr>
              <w:t>自然人</w:t>
            </w:r>
          </w:p>
        </w:tc>
        <w:tc>
          <w:tcPr>
            <w:tcW w:w="3450" w:type="dxa"/>
            <w:gridSpan w:val="5"/>
            <w:tcBorders>
              <w:top w:val="single" w:sz="6" w:space="0" w:color="auto"/>
              <w:bottom w:val="single" w:sz="6" w:space="0" w:color="auto"/>
              <w:right w:val="single" w:sz="6" w:space="0" w:color="auto"/>
              <w:tl2br w:val="nil"/>
              <w:tr2bl w:val="nil"/>
            </w:tcBorders>
            <w:vAlign w:val="center"/>
          </w:tcPr>
          <w:p>
            <w:pPr>
              <w:pStyle w:val="17"/>
              <w:ind w:left="0"/>
              <w:jc w:val="center"/>
              <w:rPr>
                <w:b/>
                <w:vanish w:val="0"/>
              </w:rPr>
            </w:pPr>
            <w:r>
              <w:rPr>
                <w:rFonts w:ascii="宋体" w:eastAsia="宋体" w:hint="eastAsia"/>
                <w:b/>
                <w:vanish w:val="0"/>
                <w:color w:val="auto"/>
                <w:sz w:val="20"/>
                <w:szCs w:val="20"/>
              </w:rPr>
              <w:t>法人或其他组织</w:t>
            </w:r>
          </w:p>
        </w:tc>
        <w:tc>
          <w:tcPr>
            <w:tcW w:w="690" w:type="dxa"/>
            <w:vMerge w:val="restart"/>
            <w:tcBorders>
              <w:top w:val="single" w:sz="6" w:space="0" w:color="auto"/>
              <w:bottom w:val="single" w:sz="6" w:space="0" w:color="auto"/>
              <w:right w:val="single" w:sz="6" w:space="0" w:color="auto"/>
              <w:tl2br w:val="nil"/>
              <w:tr2bl w:val="nil"/>
            </w:tcBorders>
            <w:vAlign w:val="center"/>
          </w:tcPr>
          <w:p>
            <w:pPr>
              <w:pStyle w:val="17"/>
              <w:ind w:left="0"/>
              <w:jc w:val="center"/>
              <w:rPr>
                <w:b/>
                <w:vanish w:val="0"/>
              </w:rPr>
            </w:pPr>
            <w:r>
              <w:rPr>
                <w:rFonts w:ascii="宋体" w:eastAsia="宋体" w:hint="eastAsia"/>
                <w:b/>
                <w:vanish w:val="0"/>
                <w:color w:val="auto"/>
                <w:sz w:val="20"/>
                <w:szCs w:val="20"/>
              </w:rPr>
              <w:t>总计</w:t>
            </w:r>
          </w:p>
        </w:tc>
      </w:tr>
      <w:tr>
        <w:trPr>
          <w:tblHeader/>
        </w:trPr>
        <w:tc>
          <w:tcPr>
            <w:tcW w:w="4453" w:type="dxa"/>
            <w:gridSpan w:val="3"/>
            <w:vMerge/>
            <w:tcBorders>
              <w:top w:val="single" w:sz="6" w:space="0" w:color="auto"/>
              <w:left w:val="single" w:sz="6" w:space="0" w:color="auto"/>
              <w:bottom w:val="single" w:sz="6" w:space="0" w:color="auto"/>
              <w:right w:val="single" w:sz="6" w:space="0" w:color="auto"/>
              <w:tl2br w:val="nil"/>
              <w:tr2bl w:val="nil"/>
            </w:tcBorders>
            <w:vAlign w:val="center"/>
          </w:tcPr>
          <w:p/>
        </w:tc>
        <w:tc>
          <w:tcPr>
            <w:tcW w:w="735" w:type="dxa"/>
            <w:vMerge/>
            <w:tcBorders>
              <w:bottom w:val="single" w:sz="6" w:space="0" w:color="auto"/>
              <w:right w:val="single" w:sz="6" w:space="0" w:color="auto"/>
              <w:tl2br w:val="nil"/>
              <w:tr2bl w:val="nil"/>
            </w:tcBorders>
            <w:vAlign w:val="center"/>
          </w:tcPr>
          <w:p/>
        </w:tc>
        <w:tc>
          <w:tcPr>
            <w:tcW w:w="675" w:type="dxa"/>
            <w:tcBorders>
              <w:bottom w:val="single" w:sz="6" w:space="0" w:color="auto"/>
              <w:right w:val="single" w:sz="6" w:space="0" w:color="auto"/>
              <w:tl2br w:val="nil"/>
              <w:tr2bl w:val="nil"/>
            </w:tcBorders>
            <w:vAlign w:val="center"/>
          </w:tcPr>
          <w:p>
            <w:pPr>
              <w:pStyle w:val="17"/>
              <w:ind w:left="0"/>
              <w:jc w:val="center"/>
              <w:rPr>
                <w:b/>
                <w:vanish w:val="0"/>
              </w:rPr>
            </w:pPr>
            <w:r>
              <w:rPr>
                <w:rFonts w:ascii="宋体" w:eastAsia="宋体" w:hint="eastAsia"/>
                <w:b/>
                <w:vanish w:val="0"/>
                <w:color w:val="auto"/>
                <w:sz w:val="20"/>
                <w:szCs w:val="20"/>
              </w:rPr>
              <w:t>商业企业</w:t>
            </w:r>
          </w:p>
        </w:tc>
        <w:tc>
          <w:tcPr>
            <w:tcW w:w="750" w:type="dxa"/>
            <w:tcBorders>
              <w:bottom w:val="single" w:sz="6" w:space="0" w:color="auto"/>
              <w:right w:val="single" w:sz="6" w:space="0" w:color="auto"/>
              <w:tl2br w:val="nil"/>
              <w:tr2bl w:val="nil"/>
            </w:tcBorders>
            <w:vAlign w:val="center"/>
          </w:tcPr>
          <w:p>
            <w:pPr>
              <w:pStyle w:val="17"/>
              <w:ind w:left="0"/>
              <w:jc w:val="center"/>
              <w:rPr>
                <w:b/>
                <w:vanish w:val="0"/>
              </w:rPr>
            </w:pPr>
            <w:r>
              <w:rPr>
                <w:rFonts w:ascii="宋体" w:eastAsia="宋体" w:hint="eastAsia"/>
                <w:b/>
                <w:vanish w:val="0"/>
                <w:color w:val="auto"/>
                <w:sz w:val="20"/>
                <w:szCs w:val="20"/>
              </w:rPr>
              <w:t>科研机构</w:t>
            </w:r>
          </w:p>
        </w:tc>
        <w:tc>
          <w:tcPr>
            <w:tcW w:w="765" w:type="dxa"/>
            <w:tcBorders>
              <w:top w:val="single" w:sz="6" w:space="0" w:color="auto"/>
              <w:bottom w:val="single" w:sz="6" w:space="0" w:color="auto"/>
              <w:right w:val="single" w:sz="6" w:space="0" w:color="auto"/>
              <w:tl2br w:val="nil"/>
              <w:tr2bl w:val="nil"/>
            </w:tcBorders>
            <w:vAlign w:val="center"/>
          </w:tcPr>
          <w:p>
            <w:pPr>
              <w:pStyle w:val="17"/>
              <w:ind w:left="0"/>
              <w:jc w:val="center"/>
              <w:rPr>
                <w:b/>
                <w:vanish w:val="0"/>
              </w:rPr>
            </w:pPr>
            <w:r>
              <w:rPr>
                <w:rFonts w:ascii="宋体" w:eastAsia="宋体" w:hint="eastAsia"/>
                <w:b/>
                <w:vanish w:val="0"/>
                <w:color w:val="auto"/>
                <w:sz w:val="20"/>
                <w:szCs w:val="20"/>
              </w:rPr>
              <w:t>社会公益组织</w:t>
            </w:r>
          </w:p>
        </w:tc>
        <w:tc>
          <w:tcPr>
            <w:tcW w:w="765" w:type="dxa"/>
            <w:tcBorders>
              <w:top w:val="single" w:sz="6" w:space="0" w:color="auto"/>
              <w:bottom w:val="single" w:sz="6" w:space="0" w:color="auto"/>
              <w:right w:val="single" w:sz="6" w:space="0" w:color="auto"/>
              <w:tl2br w:val="nil"/>
              <w:tr2bl w:val="nil"/>
            </w:tcBorders>
            <w:vAlign w:val="center"/>
          </w:tcPr>
          <w:p>
            <w:pPr>
              <w:pStyle w:val="17"/>
              <w:ind w:left="0"/>
              <w:jc w:val="center"/>
              <w:rPr>
                <w:b/>
                <w:vanish w:val="0"/>
              </w:rPr>
            </w:pPr>
            <w:r>
              <w:rPr>
                <w:rFonts w:ascii="宋体" w:eastAsia="宋体" w:hint="eastAsia"/>
                <w:b/>
                <w:vanish w:val="0"/>
                <w:color w:val="auto"/>
                <w:sz w:val="20"/>
                <w:szCs w:val="20"/>
              </w:rPr>
              <w:t>法律服务机构</w:t>
            </w:r>
          </w:p>
        </w:tc>
        <w:tc>
          <w:tcPr>
            <w:tcW w:w="495" w:type="dxa"/>
            <w:tcBorders>
              <w:top w:val="single" w:sz="6" w:space="0" w:color="auto"/>
              <w:bottom w:val="single" w:sz="6" w:space="0" w:color="auto"/>
              <w:right w:val="single" w:sz="6" w:space="0" w:color="auto"/>
              <w:tl2br w:val="nil"/>
              <w:tr2bl w:val="nil"/>
            </w:tcBorders>
            <w:vAlign w:val="center"/>
          </w:tcPr>
          <w:p>
            <w:pPr>
              <w:pStyle w:val="17"/>
              <w:ind w:left="0"/>
              <w:jc w:val="center"/>
              <w:rPr>
                <w:b/>
                <w:vanish w:val="0"/>
              </w:rPr>
            </w:pPr>
            <w:r>
              <w:rPr>
                <w:rFonts w:ascii="宋体" w:eastAsia="宋体" w:hint="eastAsia"/>
                <w:b/>
                <w:vanish w:val="0"/>
                <w:color w:val="auto"/>
                <w:sz w:val="20"/>
                <w:szCs w:val="20"/>
              </w:rPr>
              <w:t>其他</w:t>
            </w:r>
          </w:p>
        </w:tc>
        <w:tc>
          <w:tcPr>
            <w:tcW w:w="735" w:type="dxa"/>
            <w:vMerge/>
            <w:tcBorders>
              <w:top w:val="single" w:sz="6" w:space="0" w:color="auto"/>
              <w:bottom w:val="single" w:sz="6" w:space="0" w:color="auto"/>
              <w:right w:val="single" w:sz="6" w:space="0" w:color="auto"/>
              <w:tl2br w:val="nil"/>
              <w:tr2bl w:val="nil"/>
            </w:tcBorders>
            <w:vAlign w:val="center"/>
          </w:tcPr>
          <w:p/>
        </w:tc>
      </w:tr>
      <w:tr>
        <w:tc>
          <w:tcPr>
            <w:tcW w:w="4305" w:type="dxa"/>
            <w:gridSpan w:val="3"/>
            <w:tcBorders>
              <w:left w:val="single" w:sz="6" w:space="0" w:color="auto"/>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一、本年新收政府信息公开申请数量</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bookmarkStart w:id="0" w:name="_GoBack"/>
            <w:r>
              <w:rPr>
                <w:rFonts w:ascii="Times new roman" w:hAnsi="Times new roman"/>
                <w:vanish w:val="0"/>
                <w:color w:val="auto"/>
                <w:sz w:val="24"/>
                <w:szCs w:val="24"/>
              </w:rPr>
              <w:t>8</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8</w:t>
            </w:r>
          </w:p>
        </w:tc>
      </w:tr>
      <w:tr>
        <w:tc>
          <w:tcPr>
            <w:tcW w:w="4305" w:type="dxa"/>
            <w:gridSpan w:val="3"/>
            <w:tcBorders>
              <w:left w:val="single" w:sz="6" w:space="0" w:color="auto"/>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二、上年结转政府信息公开申请数量</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3</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3</w:t>
            </w:r>
          </w:p>
        </w:tc>
      </w:tr>
      <w:tr>
        <w:tc>
          <w:tcPr>
            <w:tcW w:w="690" w:type="dxa"/>
            <w:vMerge w:val="restart"/>
            <w:tcBorders>
              <w:left w:val="single" w:sz="6" w:space="0" w:color="auto"/>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三、本年度办理结果</w:t>
            </w:r>
          </w:p>
        </w:tc>
        <w:tc>
          <w:tcPr>
            <w:tcW w:w="3615" w:type="dxa"/>
            <w:gridSpan w:val="2"/>
            <w:tcBorders>
              <w:bottom w:val="single" w:sz="6" w:space="0" w:color="auto"/>
              <w:right w:val="single" w:sz="6" w:space="0" w:color="auto"/>
              <w:tl2br w:val="nil"/>
              <w:tr2bl w:val="nil"/>
            </w:tcBorders>
            <w:vAlign w:val="center"/>
          </w:tcPr>
          <w:p>
            <w:pPr>
              <w:pStyle w:val="17"/>
              <w:ind w:left="0"/>
              <w:rPr>
                <w:vanish w:val="0"/>
              </w:rPr>
            </w:pPr>
            <w:r>
              <w:rPr>
                <w:rFonts w:ascii="楷体" w:eastAsia="楷体" w:hint="eastAsia"/>
                <w:vanish w:val="0"/>
                <w:color w:val="auto"/>
                <w:sz w:val="24"/>
                <w:szCs w:val="24"/>
              </w:rPr>
              <w:t>（一）予以公开</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2</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top w:val="single" w:sz="6" w:space="0" w:color="auto"/>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2</w:t>
            </w:r>
          </w:p>
        </w:tc>
      </w:tr>
      <w:tr>
        <w:tc>
          <w:tcPr>
            <w:tcW w:w="975" w:type="dxa"/>
            <w:vMerge/>
            <w:tcBorders>
              <w:left w:val="single" w:sz="6" w:space="0" w:color="auto"/>
              <w:bottom w:val="single" w:sz="6" w:space="0" w:color="auto"/>
              <w:right w:val="single" w:sz="6" w:space="0" w:color="auto"/>
              <w:tl2br w:val="nil"/>
              <w:tr2bl w:val="nil"/>
            </w:tcBorders>
            <w:vAlign w:val="center"/>
          </w:tcPr>
          <w:p/>
        </w:tc>
        <w:tc>
          <w:tcPr>
            <w:tcW w:w="3615" w:type="dxa"/>
            <w:gridSpan w:val="2"/>
            <w:tcBorders>
              <w:bottom w:val="single" w:sz="6" w:space="0" w:color="auto"/>
              <w:right w:val="single" w:sz="6" w:space="0" w:color="auto"/>
              <w:tl2br w:val="nil"/>
              <w:tr2bl w:val="nil"/>
            </w:tcBorders>
            <w:vAlign w:val="center"/>
          </w:tcPr>
          <w:p>
            <w:pPr>
              <w:pStyle w:val="17"/>
              <w:ind w:left="0"/>
              <w:rPr>
                <w:vanish w:val="0"/>
              </w:rPr>
            </w:pPr>
            <w:r>
              <w:rPr>
                <w:rFonts w:ascii="楷体" w:eastAsia="楷体" w:hint="eastAsia"/>
                <w:vanish w:val="0"/>
                <w:color w:val="auto"/>
                <w:sz w:val="24"/>
                <w:szCs w:val="24"/>
              </w:rPr>
              <w:t>（二）部分公开（区分处理的，只计这一情形，不计其他情形）</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2</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2</w:t>
            </w:r>
          </w:p>
        </w:tc>
      </w:tr>
      <w:tr>
        <w:tc>
          <w:tcPr>
            <w:tcW w:w="975" w:type="dxa"/>
            <w:vMerge/>
            <w:tcBorders>
              <w:left w:val="single" w:sz="6" w:space="0" w:color="auto"/>
              <w:bottom w:val="single" w:sz="6" w:space="0" w:color="auto"/>
              <w:right w:val="single" w:sz="6" w:space="0" w:color="auto"/>
              <w:tl2br w:val="nil"/>
              <w:tr2bl w:val="nil"/>
            </w:tcBorders>
            <w:vAlign w:val="center"/>
          </w:tcPr>
          <w:p/>
        </w:tc>
        <w:tc>
          <w:tcPr>
            <w:tcW w:w="930" w:type="dxa"/>
            <w:vMerge w:val="restart"/>
            <w:tcBorders>
              <w:bottom w:val="single" w:sz="6" w:space="0" w:color="auto"/>
              <w:right w:val="single" w:sz="6" w:space="0" w:color="auto"/>
              <w:tl2br w:val="nil"/>
              <w:tr2bl w:val="nil"/>
            </w:tcBorders>
            <w:vAlign w:val="center"/>
          </w:tcPr>
          <w:p>
            <w:pPr>
              <w:pStyle w:val="17"/>
              <w:ind w:left="0"/>
              <w:rPr>
                <w:vanish w:val="0"/>
              </w:rPr>
            </w:pPr>
            <w:r>
              <w:rPr>
                <w:rFonts w:ascii="楷体" w:eastAsia="楷体" w:hint="eastAsia"/>
                <w:vanish w:val="0"/>
                <w:color w:val="auto"/>
                <w:sz w:val="24"/>
                <w:szCs w:val="24"/>
              </w:rPr>
              <w:t>（三）不予公开</w:t>
            </w:r>
          </w:p>
        </w:tc>
        <w:tc>
          <w:tcPr>
            <w:tcW w:w="2685"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1.</w:t>
            </w:r>
            <w:r>
              <w:rPr>
                <w:rFonts w:ascii="楷体" w:eastAsia="楷体" w:hint="eastAsia"/>
                <w:vanish w:val="0"/>
                <w:color w:val="auto"/>
                <w:sz w:val="24"/>
                <w:szCs w:val="24"/>
              </w:rPr>
              <w:t>属于国家秘密</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top w:val="single" w:sz="6" w:space="0" w:color="auto"/>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r>
      <w:tr>
        <w:tc>
          <w:tcPr>
            <w:tcW w:w="975" w:type="dxa"/>
            <w:vMerge/>
            <w:tcBorders>
              <w:left w:val="single" w:sz="6" w:space="0" w:color="auto"/>
              <w:bottom w:val="single" w:sz="6" w:space="0" w:color="auto"/>
              <w:right w:val="single" w:sz="6" w:space="0" w:color="auto"/>
              <w:tl2br w:val="nil"/>
              <w:tr2bl w:val="nil"/>
            </w:tcBorders>
            <w:vAlign w:val="center"/>
          </w:tcPr>
          <w:p/>
        </w:tc>
        <w:tc>
          <w:tcPr>
            <w:tcW w:w="1215" w:type="dxa"/>
            <w:vMerge/>
            <w:tcBorders>
              <w:bottom w:val="single" w:sz="6" w:space="0" w:color="auto"/>
              <w:right w:val="single" w:sz="6" w:space="0" w:color="auto"/>
              <w:tl2br w:val="nil"/>
              <w:tr2bl w:val="nil"/>
            </w:tcBorders>
            <w:vAlign w:val="center"/>
          </w:tcPr>
          <w:p/>
        </w:tc>
        <w:tc>
          <w:tcPr>
            <w:tcW w:w="2685"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2.</w:t>
            </w:r>
            <w:r>
              <w:rPr>
                <w:rFonts w:ascii="楷体" w:eastAsia="楷体" w:hint="eastAsia"/>
                <w:vanish w:val="0"/>
                <w:color w:val="auto"/>
                <w:sz w:val="24"/>
                <w:szCs w:val="24"/>
              </w:rPr>
              <w:t>其他法律行政法规禁止公开</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r>
      <w:tr>
        <w:tc>
          <w:tcPr>
            <w:tcW w:w="975" w:type="dxa"/>
            <w:vMerge/>
            <w:tcBorders>
              <w:left w:val="single" w:sz="6" w:space="0" w:color="auto"/>
              <w:bottom w:val="single" w:sz="6" w:space="0" w:color="auto"/>
              <w:right w:val="single" w:sz="6" w:space="0" w:color="auto"/>
              <w:tl2br w:val="nil"/>
              <w:tr2bl w:val="nil"/>
            </w:tcBorders>
            <w:vAlign w:val="center"/>
          </w:tcPr>
          <w:p/>
        </w:tc>
        <w:tc>
          <w:tcPr>
            <w:tcW w:w="1215" w:type="dxa"/>
            <w:vMerge/>
            <w:tcBorders>
              <w:bottom w:val="single" w:sz="6" w:space="0" w:color="auto"/>
              <w:right w:val="single" w:sz="6" w:space="0" w:color="auto"/>
              <w:tl2br w:val="nil"/>
              <w:tr2bl w:val="nil"/>
            </w:tcBorders>
            <w:vAlign w:val="center"/>
          </w:tcPr>
          <w:p/>
        </w:tc>
        <w:tc>
          <w:tcPr>
            <w:tcW w:w="2685"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3.</w:t>
            </w:r>
            <w:r>
              <w:rPr>
                <w:rFonts w:ascii="楷体" w:eastAsia="楷体" w:hint="eastAsia"/>
                <w:vanish w:val="0"/>
                <w:color w:val="auto"/>
                <w:sz w:val="24"/>
                <w:szCs w:val="24"/>
              </w:rPr>
              <w:t>危及“三安全一稳定”</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r>
      <w:tr>
        <w:tc>
          <w:tcPr>
            <w:tcW w:w="975" w:type="dxa"/>
            <w:vMerge/>
            <w:tcBorders>
              <w:left w:val="single" w:sz="6" w:space="0" w:color="auto"/>
              <w:bottom w:val="single" w:sz="6" w:space="0" w:color="auto"/>
              <w:right w:val="single" w:sz="6" w:space="0" w:color="auto"/>
              <w:tl2br w:val="nil"/>
              <w:tr2bl w:val="nil"/>
            </w:tcBorders>
            <w:vAlign w:val="center"/>
          </w:tcPr>
          <w:p/>
        </w:tc>
        <w:tc>
          <w:tcPr>
            <w:tcW w:w="1215" w:type="dxa"/>
            <w:vMerge/>
            <w:tcBorders>
              <w:bottom w:val="single" w:sz="6" w:space="0" w:color="auto"/>
              <w:right w:val="single" w:sz="6" w:space="0" w:color="auto"/>
              <w:tl2br w:val="nil"/>
              <w:tr2bl w:val="nil"/>
            </w:tcBorders>
            <w:vAlign w:val="center"/>
          </w:tcPr>
          <w:p/>
        </w:tc>
        <w:tc>
          <w:tcPr>
            <w:tcW w:w="2685"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4.</w:t>
            </w:r>
            <w:r>
              <w:rPr>
                <w:rFonts w:ascii="楷体" w:eastAsia="楷体" w:hint="eastAsia"/>
                <w:vanish w:val="0"/>
                <w:color w:val="auto"/>
                <w:sz w:val="24"/>
                <w:szCs w:val="24"/>
              </w:rPr>
              <w:t>保护第三方合法权益</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r>
      <w:tr>
        <w:tc>
          <w:tcPr>
            <w:tcW w:w="975" w:type="dxa"/>
            <w:vMerge/>
            <w:tcBorders>
              <w:left w:val="single" w:sz="6" w:space="0" w:color="auto"/>
              <w:bottom w:val="single" w:sz="6" w:space="0" w:color="auto"/>
              <w:right w:val="single" w:sz="6" w:space="0" w:color="auto"/>
              <w:tl2br w:val="nil"/>
              <w:tr2bl w:val="nil"/>
            </w:tcBorders>
            <w:vAlign w:val="center"/>
          </w:tcPr>
          <w:p/>
        </w:tc>
        <w:tc>
          <w:tcPr>
            <w:tcW w:w="1215" w:type="dxa"/>
            <w:vMerge/>
            <w:tcBorders>
              <w:bottom w:val="single" w:sz="6" w:space="0" w:color="auto"/>
              <w:right w:val="single" w:sz="6" w:space="0" w:color="auto"/>
              <w:tl2br w:val="nil"/>
              <w:tr2bl w:val="nil"/>
            </w:tcBorders>
            <w:vAlign w:val="center"/>
          </w:tcPr>
          <w:p/>
        </w:tc>
        <w:tc>
          <w:tcPr>
            <w:tcW w:w="2685"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5.</w:t>
            </w:r>
            <w:r>
              <w:rPr>
                <w:rFonts w:ascii="楷体" w:eastAsia="楷体" w:hint="eastAsia"/>
                <w:vanish w:val="0"/>
                <w:color w:val="auto"/>
                <w:sz w:val="24"/>
                <w:szCs w:val="24"/>
              </w:rPr>
              <w:t>属于三类内部事务信息</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r>
      <w:tr>
        <w:tc>
          <w:tcPr>
            <w:tcW w:w="975" w:type="dxa"/>
            <w:vMerge/>
            <w:tcBorders>
              <w:left w:val="single" w:sz="6" w:space="0" w:color="auto"/>
              <w:bottom w:val="single" w:sz="6" w:space="0" w:color="auto"/>
              <w:right w:val="single" w:sz="6" w:space="0" w:color="auto"/>
              <w:tl2br w:val="nil"/>
              <w:tr2bl w:val="nil"/>
            </w:tcBorders>
            <w:vAlign w:val="center"/>
          </w:tcPr>
          <w:p/>
        </w:tc>
        <w:tc>
          <w:tcPr>
            <w:tcW w:w="1215" w:type="dxa"/>
            <w:vMerge/>
            <w:tcBorders>
              <w:bottom w:val="single" w:sz="6" w:space="0" w:color="auto"/>
              <w:right w:val="single" w:sz="6" w:space="0" w:color="auto"/>
              <w:tl2br w:val="nil"/>
              <w:tr2bl w:val="nil"/>
            </w:tcBorders>
            <w:vAlign w:val="center"/>
          </w:tcPr>
          <w:p/>
        </w:tc>
        <w:tc>
          <w:tcPr>
            <w:tcW w:w="2685"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6.</w:t>
            </w:r>
            <w:r>
              <w:rPr>
                <w:rFonts w:ascii="楷体" w:eastAsia="楷体" w:hint="eastAsia"/>
                <w:vanish w:val="0"/>
                <w:color w:val="auto"/>
                <w:sz w:val="24"/>
                <w:szCs w:val="24"/>
              </w:rPr>
              <w:t>属于四类过程性信息</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r>
      <w:tr>
        <w:tc>
          <w:tcPr>
            <w:tcW w:w="975" w:type="dxa"/>
            <w:vMerge/>
            <w:tcBorders>
              <w:left w:val="single" w:sz="6" w:space="0" w:color="auto"/>
              <w:bottom w:val="single" w:sz="6" w:space="0" w:color="auto"/>
              <w:right w:val="single" w:sz="6" w:space="0" w:color="auto"/>
              <w:tl2br w:val="nil"/>
              <w:tr2bl w:val="nil"/>
            </w:tcBorders>
            <w:vAlign w:val="center"/>
          </w:tcPr>
          <w:p/>
        </w:tc>
        <w:tc>
          <w:tcPr>
            <w:tcW w:w="1215" w:type="dxa"/>
            <w:vMerge/>
            <w:tcBorders>
              <w:bottom w:val="single" w:sz="6" w:space="0" w:color="auto"/>
              <w:right w:val="single" w:sz="6" w:space="0" w:color="auto"/>
              <w:tl2br w:val="nil"/>
              <w:tr2bl w:val="nil"/>
            </w:tcBorders>
            <w:vAlign w:val="center"/>
          </w:tcPr>
          <w:p/>
        </w:tc>
        <w:tc>
          <w:tcPr>
            <w:tcW w:w="2685"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7.</w:t>
            </w:r>
            <w:r>
              <w:rPr>
                <w:rFonts w:ascii="楷体" w:eastAsia="楷体" w:hint="eastAsia"/>
                <w:vanish w:val="0"/>
                <w:color w:val="auto"/>
                <w:sz w:val="24"/>
                <w:szCs w:val="24"/>
              </w:rPr>
              <w:t>属于行政执法案卷</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r>
      <w:tr>
        <w:tc>
          <w:tcPr>
            <w:tcW w:w="975" w:type="dxa"/>
            <w:vMerge/>
            <w:tcBorders>
              <w:left w:val="single" w:sz="6" w:space="0" w:color="auto"/>
              <w:bottom w:val="single" w:sz="6" w:space="0" w:color="auto"/>
              <w:right w:val="single" w:sz="6" w:space="0" w:color="auto"/>
              <w:tl2br w:val="nil"/>
              <w:tr2bl w:val="nil"/>
            </w:tcBorders>
            <w:vAlign w:val="center"/>
          </w:tcPr>
          <w:p/>
        </w:tc>
        <w:tc>
          <w:tcPr>
            <w:tcW w:w="1215" w:type="dxa"/>
            <w:vMerge/>
            <w:tcBorders>
              <w:bottom w:val="single" w:sz="6" w:space="0" w:color="auto"/>
              <w:right w:val="single" w:sz="6" w:space="0" w:color="auto"/>
              <w:tl2br w:val="nil"/>
              <w:tr2bl w:val="nil"/>
            </w:tcBorders>
            <w:vAlign w:val="center"/>
          </w:tcPr>
          <w:p/>
        </w:tc>
        <w:tc>
          <w:tcPr>
            <w:tcW w:w="2685"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8.</w:t>
            </w:r>
            <w:r>
              <w:rPr>
                <w:rFonts w:ascii="楷体" w:eastAsia="楷体" w:hint="eastAsia"/>
                <w:vanish w:val="0"/>
                <w:color w:val="auto"/>
                <w:sz w:val="24"/>
                <w:szCs w:val="24"/>
              </w:rPr>
              <w:t>属于行政查询事项</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r>
      <w:tr>
        <w:tc>
          <w:tcPr>
            <w:tcW w:w="975" w:type="dxa"/>
            <w:vMerge/>
            <w:tcBorders>
              <w:left w:val="single" w:sz="6" w:space="0" w:color="auto"/>
              <w:bottom w:val="single" w:sz="6" w:space="0" w:color="auto"/>
              <w:right w:val="single" w:sz="6" w:space="0" w:color="auto"/>
              <w:tl2br w:val="nil"/>
              <w:tr2bl w:val="nil"/>
            </w:tcBorders>
            <w:vAlign w:val="center"/>
          </w:tcPr>
          <w:p/>
        </w:tc>
        <w:tc>
          <w:tcPr>
            <w:tcW w:w="930" w:type="dxa"/>
            <w:vMerge w:val="restart"/>
            <w:tcBorders>
              <w:bottom w:val="single" w:sz="6" w:space="0" w:color="auto"/>
              <w:right w:val="single" w:sz="6" w:space="0" w:color="auto"/>
              <w:tl2br w:val="nil"/>
              <w:tr2bl w:val="nil"/>
            </w:tcBorders>
            <w:vAlign w:val="center"/>
          </w:tcPr>
          <w:p>
            <w:pPr>
              <w:pStyle w:val="17"/>
              <w:ind w:left="0"/>
              <w:rPr>
                <w:vanish w:val="0"/>
              </w:rPr>
            </w:pPr>
            <w:r>
              <w:rPr>
                <w:rFonts w:ascii="楷体" w:eastAsia="楷体" w:hint="eastAsia"/>
                <w:vanish w:val="0"/>
                <w:color w:val="auto"/>
                <w:sz w:val="24"/>
                <w:szCs w:val="24"/>
              </w:rPr>
              <w:t>（四）无法提供</w:t>
            </w:r>
          </w:p>
        </w:tc>
        <w:tc>
          <w:tcPr>
            <w:tcW w:w="2685"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1.</w:t>
            </w:r>
            <w:r>
              <w:rPr>
                <w:rFonts w:ascii="楷体" w:eastAsia="楷体" w:hint="eastAsia"/>
                <w:vanish w:val="0"/>
                <w:color w:val="auto"/>
                <w:sz w:val="24"/>
                <w:szCs w:val="24"/>
              </w:rPr>
              <w:t>本机关不掌握相关政府信息</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1</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1</w:t>
            </w:r>
          </w:p>
        </w:tc>
      </w:tr>
      <w:tr>
        <w:tc>
          <w:tcPr>
            <w:tcW w:w="975" w:type="dxa"/>
            <w:vMerge/>
            <w:tcBorders>
              <w:left w:val="single" w:sz="6" w:space="0" w:color="auto"/>
              <w:bottom w:val="single" w:sz="6" w:space="0" w:color="auto"/>
              <w:right w:val="single" w:sz="6" w:space="0" w:color="auto"/>
              <w:tl2br w:val="nil"/>
              <w:tr2bl w:val="nil"/>
            </w:tcBorders>
            <w:vAlign w:val="center"/>
          </w:tcPr>
          <w:p/>
        </w:tc>
        <w:tc>
          <w:tcPr>
            <w:tcW w:w="1215" w:type="dxa"/>
            <w:vMerge/>
            <w:tcBorders>
              <w:bottom w:val="single" w:sz="6" w:space="0" w:color="auto"/>
              <w:right w:val="single" w:sz="6" w:space="0" w:color="auto"/>
              <w:tl2br w:val="nil"/>
              <w:tr2bl w:val="nil"/>
            </w:tcBorders>
            <w:vAlign w:val="center"/>
          </w:tcPr>
          <w:p/>
        </w:tc>
        <w:tc>
          <w:tcPr>
            <w:tcW w:w="2685"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2.</w:t>
            </w:r>
            <w:r>
              <w:rPr>
                <w:rFonts w:ascii="楷体" w:eastAsia="楷体" w:hint="eastAsia"/>
                <w:vanish w:val="0"/>
                <w:color w:val="auto"/>
                <w:sz w:val="24"/>
                <w:szCs w:val="24"/>
              </w:rPr>
              <w:t>没有现成信息需要另行制作</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1</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1</w:t>
            </w:r>
          </w:p>
        </w:tc>
      </w:tr>
      <w:tr>
        <w:tc>
          <w:tcPr>
            <w:tcW w:w="975" w:type="dxa"/>
            <w:vMerge/>
            <w:tcBorders>
              <w:left w:val="single" w:sz="6" w:space="0" w:color="auto"/>
              <w:bottom w:val="single" w:sz="6" w:space="0" w:color="auto"/>
              <w:right w:val="single" w:sz="6" w:space="0" w:color="auto"/>
              <w:tl2br w:val="nil"/>
              <w:tr2bl w:val="nil"/>
            </w:tcBorders>
            <w:vAlign w:val="center"/>
          </w:tcPr>
          <w:p/>
        </w:tc>
        <w:tc>
          <w:tcPr>
            <w:tcW w:w="1215" w:type="dxa"/>
            <w:vMerge/>
            <w:tcBorders>
              <w:bottom w:val="single" w:sz="6" w:space="0" w:color="auto"/>
              <w:right w:val="single" w:sz="6" w:space="0" w:color="auto"/>
              <w:tl2br w:val="nil"/>
              <w:tr2bl w:val="nil"/>
            </w:tcBorders>
            <w:vAlign w:val="center"/>
          </w:tcPr>
          <w:p/>
        </w:tc>
        <w:tc>
          <w:tcPr>
            <w:tcW w:w="2685"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3.</w:t>
            </w:r>
            <w:r>
              <w:rPr>
                <w:rFonts w:ascii="楷体" w:eastAsia="楷体" w:hint="eastAsia"/>
                <w:vanish w:val="0"/>
                <w:color w:val="auto"/>
                <w:sz w:val="24"/>
                <w:szCs w:val="24"/>
              </w:rPr>
              <w:t>补正后申请内容仍不明确</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bookmarkEnd w:id="0"/>
      </w:tr>
      <w:tr>
        <w:tc>
          <w:tcPr>
            <w:tcW w:w="975" w:type="dxa"/>
            <w:vMerge/>
            <w:tcBorders>
              <w:left w:val="single" w:sz="6" w:space="0" w:color="auto"/>
              <w:bottom w:val="single" w:sz="6" w:space="0" w:color="auto"/>
              <w:right w:val="single" w:sz="6" w:space="0" w:color="auto"/>
              <w:tl2br w:val="nil"/>
              <w:tr2bl w:val="nil"/>
            </w:tcBorders>
            <w:vAlign w:val="center"/>
          </w:tcPr>
          <w:p/>
        </w:tc>
        <w:tc>
          <w:tcPr>
            <w:tcW w:w="930" w:type="dxa"/>
            <w:vMerge w:val="restart"/>
            <w:tcBorders>
              <w:bottom w:val="single" w:sz="6" w:space="0" w:color="auto"/>
              <w:right w:val="single" w:sz="6" w:space="0" w:color="auto"/>
              <w:tl2br w:val="nil"/>
              <w:tr2bl w:val="nil"/>
            </w:tcBorders>
            <w:vAlign w:val="center"/>
          </w:tcPr>
          <w:p>
            <w:pPr>
              <w:pStyle w:val="17"/>
              <w:ind w:left="0"/>
              <w:rPr>
                <w:vanish w:val="0"/>
              </w:rPr>
            </w:pPr>
            <w:r>
              <w:rPr>
                <w:rFonts w:ascii="楷体" w:eastAsia="楷体" w:hint="eastAsia"/>
                <w:vanish w:val="0"/>
                <w:color w:val="auto"/>
                <w:sz w:val="24"/>
                <w:szCs w:val="24"/>
              </w:rPr>
              <w:t>（五）不予处理</w:t>
            </w:r>
          </w:p>
        </w:tc>
        <w:tc>
          <w:tcPr>
            <w:tcW w:w="2685"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1.</w:t>
            </w:r>
            <w:r>
              <w:rPr>
                <w:rFonts w:ascii="楷体" w:eastAsia="楷体" w:hint="eastAsia"/>
                <w:vanish w:val="0"/>
                <w:color w:val="auto"/>
                <w:sz w:val="24"/>
                <w:szCs w:val="24"/>
              </w:rPr>
              <w:t>信访举报投诉类申请</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r>
      <w:tr>
        <w:tc>
          <w:tcPr>
            <w:tcW w:w="975" w:type="dxa"/>
            <w:vMerge/>
            <w:tcBorders>
              <w:left w:val="single" w:sz="6" w:space="0" w:color="auto"/>
              <w:bottom w:val="single" w:sz="6" w:space="0" w:color="auto"/>
              <w:right w:val="single" w:sz="6" w:space="0" w:color="auto"/>
              <w:tl2br w:val="nil"/>
              <w:tr2bl w:val="nil"/>
            </w:tcBorders>
            <w:vAlign w:val="center"/>
          </w:tcPr>
          <w:p/>
        </w:tc>
        <w:tc>
          <w:tcPr>
            <w:tcW w:w="1215" w:type="dxa"/>
            <w:vMerge/>
            <w:tcBorders>
              <w:bottom w:val="single" w:sz="6" w:space="0" w:color="auto"/>
              <w:right w:val="single" w:sz="6" w:space="0" w:color="auto"/>
              <w:tl2br w:val="nil"/>
              <w:tr2bl w:val="nil"/>
            </w:tcBorders>
            <w:vAlign w:val="center"/>
          </w:tcPr>
          <w:p/>
        </w:tc>
        <w:tc>
          <w:tcPr>
            <w:tcW w:w="2685"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2.</w:t>
            </w:r>
            <w:r>
              <w:rPr>
                <w:rFonts w:ascii="楷体" w:eastAsia="楷体" w:hint="eastAsia"/>
                <w:vanish w:val="0"/>
                <w:color w:val="auto"/>
                <w:sz w:val="24"/>
                <w:szCs w:val="24"/>
              </w:rPr>
              <w:t>重复申请</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r>
      <w:tr>
        <w:tc>
          <w:tcPr>
            <w:tcW w:w="975" w:type="dxa"/>
            <w:vMerge/>
            <w:tcBorders>
              <w:left w:val="single" w:sz="6" w:space="0" w:color="auto"/>
              <w:bottom w:val="single" w:sz="6" w:space="0" w:color="auto"/>
              <w:right w:val="single" w:sz="6" w:space="0" w:color="auto"/>
              <w:tl2br w:val="nil"/>
              <w:tr2bl w:val="nil"/>
            </w:tcBorders>
            <w:vAlign w:val="center"/>
          </w:tcPr>
          <w:p/>
        </w:tc>
        <w:tc>
          <w:tcPr>
            <w:tcW w:w="1215" w:type="dxa"/>
            <w:vMerge/>
            <w:tcBorders>
              <w:bottom w:val="single" w:sz="6" w:space="0" w:color="auto"/>
              <w:right w:val="single" w:sz="6" w:space="0" w:color="auto"/>
              <w:tl2br w:val="nil"/>
              <w:tr2bl w:val="nil"/>
            </w:tcBorders>
            <w:vAlign w:val="center"/>
          </w:tcPr>
          <w:p/>
        </w:tc>
        <w:tc>
          <w:tcPr>
            <w:tcW w:w="2685"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3.</w:t>
            </w:r>
            <w:r>
              <w:rPr>
                <w:rFonts w:ascii="楷体" w:eastAsia="楷体" w:hint="eastAsia"/>
                <w:vanish w:val="0"/>
                <w:color w:val="auto"/>
                <w:sz w:val="24"/>
                <w:szCs w:val="24"/>
              </w:rPr>
              <w:t>要求提供公开出版物</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r>
      <w:tr>
        <w:tc>
          <w:tcPr>
            <w:tcW w:w="975" w:type="dxa"/>
            <w:vMerge/>
            <w:tcBorders>
              <w:left w:val="single" w:sz="6" w:space="0" w:color="auto"/>
              <w:bottom w:val="single" w:sz="6" w:space="0" w:color="auto"/>
              <w:right w:val="single" w:sz="6" w:space="0" w:color="auto"/>
              <w:tl2br w:val="nil"/>
              <w:tr2bl w:val="nil"/>
            </w:tcBorders>
            <w:vAlign w:val="center"/>
          </w:tcPr>
          <w:p/>
        </w:tc>
        <w:tc>
          <w:tcPr>
            <w:tcW w:w="1215" w:type="dxa"/>
            <w:vMerge/>
            <w:tcBorders>
              <w:bottom w:val="single" w:sz="6" w:space="0" w:color="auto"/>
              <w:right w:val="single" w:sz="6" w:space="0" w:color="auto"/>
              <w:tl2br w:val="nil"/>
              <w:tr2bl w:val="nil"/>
            </w:tcBorders>
            <w:vAlign w:val="center"/>
          </w:tcPr>
          <w:p/>
        </w:tc>
        <w:tc>
          <w:tcPr>
            <w:tcW w:w="2685"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4.</w:t>
            </w:r>
            <w:r>
              <w:rPr>
                <w:rFonts w:ascii="楷体" w:eastAsia="楷体" w:hint="eastAsia"/>
                <w:vanish w:val="0"/>
                <w:color w:val="auto"/>
                <w:sz w:val="24"/>
                <w:szCs w:val="24"/>
              </w:rPr>
              <w:t>无正当理由大量反复申请</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r>
      <w:tr>
        <w:tc>
          <w:tcPr>
            <w:tcW w:w="975" w:type="dxa"/>
            <w:vMerge/>
            <w:tcBorders>
              <w:left w:val="single" w:sz="6" w:space="0" w:color="auto"/>
              <w:bottom w:val="single" w:sz="6" w:space="0" w:color="auto"/>
              <w:right w:val="single" w:sz="6" w:space="0" w:color="auto"/>
              <w:tl2br w:val="nil"/>
              <w:tr2bl w:val="nil"/>
            </w:tcBorders>
            <w:vAlign w:val="center"/>
          </w:tcPr>
          <w:p/>
        </w:tc>
        <w:tc>
          <w:tcPr>
            <w:tcW w:w="1215" w:type="dxa"/>
            <w:vMerge/>
            <w:tcBorders>
              <w:bottom w:val="single" w:sz="6" w:space="0" w:color="auto"/>
              <w:right w:val="single" w:sz="6" w:space="0" w:color="auto"/>
              <w:tl2br w:val="nil"/>
              <w:tr2bl w:val="nil"/>
            </w:tcBorders>
            <w:vAlign w:val="center"/>
          </w:tcPr>
          <w:p/>
        </w:tc>
        <w:tc>
          <w:tcPr>
            <w:tcW w:w="2685" w:type="dxa"/>
            <w:tcBorders>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5.</w:t>
            </w:r>
            <w:r>
              <w:rPr>
                <w:rFonts w:ascii="楷体" w:eastAsia="楷体" w:hint="eastAsia"/>
                <w:vanish w:val="0"/>
                <w:color w:val="auto"/>
                <w:sz w:val="24"/>
                <w:szCs w:val="24"/>
              </w:rPr>
              <w:t>要求行政机关确认或重新出具已获取信息</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r>
      <w:tr>
        <w:tc>
          <w:tcPr>
            <w:tcW w:w="975" w:type="dxa"/>
            <w:vMerge/>
            <w:tcBorders>
              <w:left w:val="single" w:sz="6" w:space="0" w:color="auto"/>
              <w:bottom w:val="single" w:sz="6" w:space="0" w:color="auto"/>
              <w:right w:val="single" w:sz="6" w:space="0" w:color="auto"/>
              <w:tl2br w:val="nil"/>
              <w:tr2bl w:val="nil"/>
            </w:tcBorders>
            <w:vAlign w:val="center"/>
          </w:tcPr>
          <w:p/>
        </w:tc>
        <w:tc>
          <w:tcPr>
            <w:tcW w:w="930" w:type="dxa"/>
            <w:vMerge w:val="restart"/>
            <w:tcBorders>
              <w:bottom w:val="single" w:sz="6" w:space="0" w:color="auto"/>
              <w:right w:val="single" w:sz="6" w:space="0" w:color="auto"/>
              <w:tl2br w:val="nil"/>
              <w:tr2bl w:val="nil"/>
            </w:tcBorders>
            <w:vAlign w:val="center"/>
          </w:tcPr>
          <w:p>
            <w:pPr>
              <w:pStyle w:val="17"/>
              <w:ind w:left="0"/>
              <w:rPr>
                <w:vanish w:val="0"/>
              </w:rPr>
            </w:pPr>
            <w:r>
              <w:rPr>
                <w:rFonts w:ascii="楷体" w:eastAsia="楷体" w:hint="eastAsia"/>
                <w:vanish w:val="0"/>
                <w:color w:val="auto"/>
                <w:sz w:val="24"/>
                <w:szCs w:val="24"/>
              </w:rPr>
              <w:t>（六）其他处理</w:t>
            </w:r>
          </w:p>
        </w:tc>
        <w:tc>
          <w:tcPr>
            <w:tcW w:w="2685" w:type="dxa"/>
            <w:tcBorders>
              <w:left w:val="single" w:sz="6" w:space="0" w:color="auto"/>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1.</w:t>
            </w:r>
            <w:r>
              <w:rPr>
                <w:rFonts w:ascii="楷体" w:eastAsia="楷体" w:hint="eastAsia"/>
                <w:vanish w:val="0"/>
                <w:color w:val="auto"/>
                <w:sz w:val="24"/>
                <w:szCs w:val="24"/>
              </w:rPr>
              <w:t>申请人撤销申请</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5</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5</w:t>
            </w:r>
          </w:p>
        </w:tc>
      </w:tr>
      <w:tr>
        <w:tc>
          <w:tcPr>
            <w:tcW w:w="975" w:type="dxa"/>
            <w:vMerge/>
            <w:tcBorders>
              <w:left w:val="single" w:sz="6" w:space="0" w:color="auto"/>
              <w:bottom w:val="single" w:sz="6" w:space="0" w:color="auto"/>
              <w:right w:val="single" w:sz="6" w:space="0" w:color="auto"/>
              <w:tl2br w:val="nil"/>
              <w:tr2bl w:val="nil"/>
            </w:tcBorders>
            <w:vAlign w:val="center"/>
          </w:tcPr>
          <w:p/>
        </w:tc>
        <w:tc>
          <w:tcPr>
            <w:tcW w:w="1215" w:type="dxa"/>
            <w:vMerge/>
            <w:tcBorders>
              <w:bottom w:val="single" w:sz="6" w:space="0" w:color="auto"/>
              <w:right w:val="single" w:sz="6" w:space="0" w:color="auto"/>
              <w:tl2br w:val="nil"/>
              <w:tr2bl w:val="nil"/>
            </w:tcBorders>
            <w:vAlign w:val="center"/>
          </w:tcPr>
          <w:p/>
        </w:tc>
        <w:tc>
          <w:tcPr>
            <w:tcW w:w="2685" w:type="dxa"/>
            <w:tcBorders>
              <w:left w:val="single" w:sz="6" w:space="0" w:color="auto"/>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2.</w:t>
            </w:r>
            <w:r>
              <w:rPr>
                <w:rFonts w:ascii="楷体" w:eastAsia="楷体" w:hint="eastAsia"/>
                <w:vanish w:val="0"/>
                <w:color w:val="auto"/>
                <w:sz w:val="24"/>
                <w:szCs w:val="24"/>
              </w:rPr>
              <w:t>咨询事项，指引咨询渠道</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r>
      <w:tr>
        <w:tc>
          <w:tcPr>
            <w:tcW w:w="975" w:type="dxa"/>
            <w:vMerge/>
            <w:tcBorders>
              <w:left w:val="single" w:sz="6" w:space="0" w:color="auto"/>
              <w:bottom w:val="single" w:sz="6" w:space="0" w:color="auto"/>
              <w:right w:val="single" w:sz="6" w:space="0" w:color="auto"/>
              <w:tl2br w:val="nil"/>
              <w:tr2bl w:val="nil"/>
            </w:tcBorders>
            <w:vAlign w:val="center"/>
          </w:tcPr>
          <w:p/>
        </w:tc>
        <w:tc>
          <w:tcPr>
            <w:tcW w:w="1215" w:type="dxa"/>
            <w:vMerge/>
            <w:tcBorders>
              <w:bottom w:val="single" w:sz="6" w:space="0" w:color="auto"/>
              <w:right w:val="single" w:sz="6" w:space="0" w:color="auto"/>
              <w:tl2br w:val="nil"/>
              <w:tr2bl w:val="nil"/>
            </w:tcBorders>
            <w:vAlign w:val="center"/>
          </w:tcPr>
          <w:p/>
        </w:tc>
        <w:tc>
          <w:tcPr>
            <w:tcW w:w="2685" w:type="dxa"/>
            <w:tcBorders>
              <w:left w:val="single" w:sz="6" w:space="0" w:color="auto"/>
              <w:bottom w:val="single" w:sz="6" w:space="0" w:color="auto"/>
              <w:right w:val="single" w:sz="6" w:space="0" w:color="auto"/>
              <w:tl2br w:val="nil"/>
              <w:tr2bl w:val="nil"/>
            </w:tcBorders>
            <w:vAlign w:val="center"/>
          </w:tcPr>
          <w:p>
            <w:pPr>
              <w:pStyle w:val="17"/>
              <w:ind w:left="0"/>
              <w:rPr>
                <w:vanish w:val="0"/>
              </w:rPr>
            </w:pPr>
            <w:r>
              <w:rPr>
                <w:rFonts w:ascii="Times new roman" w:hAnsi="Times new roman"/>
                <w:vanish w:val="0"/>
                <w:color w:val="auto"/>
                <w:sz w:val="24"/>
                <w:szCs w:val="24"/>
              </w:rPr>
              <w:t>3.</w:t>
            </w:r>
            <w:r>
              <w:rPr>
                <w:rFonts w:ascii="楷体" w:eastAsia="楷体" w:hint="eastAsia"/>
                <w:vanish w:val="0"/>
                <w:color w:val="auto"/>
                <w:sz w:val="24"/>
                <w:szCs w:val="24"/>
              </w:rPr>
              <w:t>逾期未补正</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r>
      <w:tr>
        <w:tc>
          <w:tcPr>
            <w:tcW w:w="975" w:type="dxa"/>
            <w:vMerge/>
            <w:tcBorders>
              <w:left w:val="single" w:sz="6" w:space="0" w:color="auto"/>
              <w:bottom w:val="single" w:sz="6" w:space="0" w:color="auto"/>
              <w:right w:val="single" w:sz="6" w:space="0" w:color="auto"/>
              <w:tl2br w:val="nil"/>
              <w:tr2bl w:val="nil"/>
            </w:tcBorders>
            <w:vAlign w:val="center"/>
          </w:tcPr>
          <w:p/>
        </w:tc>
        <w:tc>
          <w:tcPr>
            <w:tcW w:w="3615" w:type="dxa"/>
            <w:gridSpan w:val="2"/>
            <w:tcBorders>
              <w:bottom w:val="single" w:sz="6" w:space="0" w:color="auto"/>
              <w:right w:val="single" w:sz="6" w:space="0" w:color="auto"/>
              <w:tl2br w:val="nil"/>
              <w:tr2bl w:val="nil"/>
            </w:tcBorders>
            <w:vAlign w:val="center"/>
          </w:tcPr>
          <w:p>
            <w:pPr>
              <w:pStyle w:val="17"/>
              <w:ind w:left="0"/>
              <w:rPr>
                <w:vanish w:val="0"/>
              </w:rPr>
            </w:pPr>
            <w:r>
              <w:rPr>
                <w:rFonts w:ascii="楷体" w:eastAsia="楷体" w:hint="eastAsia"/>
                <w:vanish w:val="0"/>
                <w:color w:val="auto"/>
                <w:sz w:val="24"/>
                <w:szCs w:val="24"/>
              </w:rPr>
              <w:t>（七）总计</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11</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11</w:t>
            </w:r>
          </w:p>
        </w:tc>
      </w:tr>
      <w:tr>
        <w:tc>
          <w:tcPr>
            <w:tcW w:w="4305" w:type="dxa"/>
            <w:gridSpan w:val="3"/>
            <w:tcBorders>
              <w:left w:val="single" w:sz="6" w:space="0" w:color="auto"/>
              <w:bottom w:val="single" w:sz="6" w:space="0" w:color="auto"/>
              <w:right w:val="single" w:sz="6" w:space="0" w:color="auto"/>
              <w:tl2br w:val="nil"/>
              <w:tr2bl w:val="nil"/>
            </w:tcBorders>
            <w:vAlign w:val="center"/>
          </w:tcPr>
          <w:p>
            <w:pPr>
              <w:pStyle w:val="17"/>
              <w:ind w:left="0"/>
              <w:rPr>
                <w:vanish w:val="0"/>
              </w:rPr>
            </w:pPr>
            <w:r>
              <w:rPr>
                <w:rFonts w:ascii="宋体" w:eastAsia="宋体" w:hint="eastAsia"/>
                <w:vanish w:val="0"/>
                <w:color w:val="auto"/>
                <w:sz w:val="24"/>
                <w:szCs w:val="24"/>
              </w:rPr>
              <w:t>四、结转下年度继续办理</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5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76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49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c>
          <w:tcPr>
            <w:tcW w:w="69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4"/>
                <w:szCs w:val="24"/>
              </w:rPr>
              <w:t>0</w:t>
            </w:r>
          </w:p>
        </w:tc>
      </w:tr>
    </w:tbl>
    <w:p>
      <w:pPr>
        <w:pStyle w:val="17"/>
        <w:ind w:left="0"/>
        <w:rPr>
          <w:sz w:val="28"/>
          <w:szCs w:val="28"/>
        </w:rPr>
      </w:pPr>
      <w:r>
        <w:rPr>
          <w:rFonts w:ascii="方正黑体_gbk" w:eastAsia="方正黑体_gbk" w:hint="eastAsia"/>
          <w:color w:val="auto"/>
          <w:sz w:val="28"/>
          <w:szCs w:val="28"/>
        </w:rPr>
        <w:t>四、政府信息公开行政复议、行政诉讼情况</w:t>
      </w:r>
    </w:p>
    <w:tbl>
      <w:tblPr>
        <w:jc w:val="center"/>
        <w:tblW w:w="9075"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CellMar>
          <w:top w:w="0" w:type="dxa"/>
          <w:left w:w="0" w:type="dxa"/>
          <w:bottom w:w="0" w:type="dxa"/>
          <w:right w:w="0" w:type="dxa"/>
        </w:tblCellMar>
      </w:tblPr>
      <w:tblGrid>
        <w:gridCol w:w="600"/>
        <w:gridCol w:w="600"/>
        <w:gridCol w:w="600"/>
        <w:gridCol w:w="600"/>
        <w:gridCol w:w="675"/>
        <w:gridCol w:w="555"/>
        <w:gridCol w:w="600"/>
        <w:gridCol w:w="600"/>
        <w:gridCol w:w="600"/>
        <w:gridCol w:w="615"/>
        <w:gridCol w:w="600"/>
        <w:gridCol w:w="600"/>
        <w:gridCol w:w="600"/>
        <w:gridCol w:w="600"/>
        <w:gridCol w:w="630"/>
      </w:tblGrid>
      <w:tr>
        <w:tc>
          <w:tcPr>
            <w:tcW w:w="3075" w:type="dxa"/>
            <w:gridSpan w:val="5"/>
            <w:tcBorders>
              <w:top w:val="single" w:sz="6" w:space="0" w:color="auto"/>
              <w:left w:val="single" w:sz="6" w:space="0" w:color="auto"/>
              <w:bottom w:val="single" w:sz="6" w:space="0" w:color="auto"/>
              <w:right w:val="single" w:sz="6" w:space="0" w:color="auto"/>
              <w:tl2br w:val="nil"/>
              <w:tr2bl w:val="nil"/>
            </w:tcBorders>
            <w:vAlign w:val="center"/>
          </w:tcPr>
          <w:p>
            <w:pPr>
              <w:pStyle w:val="17"/>
              <w:ind w:left="0" w:firstLineChars="200" w:firstLine="480"/>
              <w:jc w:val="center"/>
              <w:rPr>
                <w:vanish w:val="0"/>
              </w:rPr>
            </w:pPr>
            <w:r>
              <w:rPr>
                <w:rFonts w:ascii="宋体" w:eastAsia="宋体" w:hint="eastAsia"/>
                <w:vanish w:val="0"/>
                <w:color w:val="auto"/>
                <w:sz w:val="24"/>
                <w:szCs w:val="24"/>
              </w:rPr>
              <w:t>行政复议</w:t>
            </w:r>
          </w:p>
        </w:tc>
        <w:tc>
          <w:tcPr>
            <w:tcW w:w="6000" w:type="dxa"/>
            <w:gridSpan w:val="10"/>
            <w:tcBorders>
              <w:top w:val="single" w:sz="6" w:space="0" w:color="auto"/>
              <w:bottom w:val="single" w:sz="6" w:space="0" w:color="auto"/>
              <w:right w:val="single" w:sz="6" w:space="0" w:color="auto"/>
              <w:tl2br w:val="nil"/>
              <w:tr2bl w:val="nil"/>
            </w:tcBorders>
            <w:vAlign w:val="center"/>
          </w:tcPr>
          <w:p>
            <w:pPr>
              <w:pStyle w:val="17"/>
              <w:ind w:left="0" w:firstLineChars="200" w:firstLine="480"/>
              <w:jc w:val="center"/>
              <w:rPr>
                <w:vanish w:val="0"/>
              </w:rPr>
            </w:pPr>
            <w:r>
              <w:rPr>
                <w:rFonts w:ascii="宋体" w:eastAsia="宋体" w:hint="eastAsia"/>
                <w:vanish w:val="0"/>
                <w:color w:val="auto"/>
                <w:sz w:val="24"/>
                <w:szCs w:val="24"/>
              </w:rPr>
              <w:t>行政诉讼</w:t>
            </w:r>
          </w:p>
        </w:tc>
      </w:tr>
      <w:tr>
        <w:tc>
          <w:tcPr>
            <w:tcW w:w="600" w:type="dxa"/>
            <w:vMerge w:val="restart"/>
            <w:tcBorders>
              <w:left w:val="single" w:sz="6" w:space="0" w:color="auto"/>
              <w:bottom w:val="single" w:sz="6" w:space="0" w:color="auto"/>
              <w:right w:val="single" w:sz="6" w:space="0" w:color="auto"/>
              <w:tl2br w:val="nil"/>
              <w:tr2bl w:val="nil"/>
            </w:tcBorders>
            <w:vAlign w:val="center"/>
          </w:tcPr>
          <w:p>
            <w:pPr>
              <w:pStyle w:val="17"/>
              <w:ind w:left="0"/>
              <w:jc w:val="center"/>
              <w:rPr>
                <w:vanish w:val="0"/>
              </w:rPr>
            </w:pPr>
            <w:r>
              <w:rPr>
                <w:rFonts w:ascii="宋体" w:eastAsia="宋体" w:hint="eastAsia"/>
                <w:vanish w:val="0"/>
                <w:color w:val="auto"/>
                <w:sz w:val="24"/>
                <w:szCs w:val="24"/>
              </w:rPr>
              <w:t>结果维持</w:t>
            </w:r>
          </w:p>
        </w:tc>
        <w:tc>
          <w:tcPr>
            <w:tcW w:w="600" w:type="dxa"/>
            <w:vMerge w:val="restart"/>
            <w:tcBorders>
              <w:bottom w:val="single" w:sz="6" w:space="0" w:color="auto"/>
              <w:right w:val="single" w:sz="6" w:space="0" w:color="auto"/>
              <w:tl2br w:val="nil"/>
              <w:tr2bl w:val="nil"/>
            </w:tcBorders>
            <w:vAlign w:val="center"/>
          </w:tcPr>
          <w:p>
            <w:pPr>
              <w:pStyle w:val="17"/>
              <w:ind w:left="0"/>
              <w:jc w:val="center"/>
              <w:rPr>
                <w:vanish w:val="0"/>
              </w:rPr>
            </w:pPr>
            <w:r>
              <w:rPr>
                <w:rFonts w:ascii="宋体" w:eastAsia="宋体" w:hint="eastAsia"/>
                <w:vanish w:val="0"/>
                <w:color w:val="auto"/>
                <w:sz w:val="24"/>
                <w:szCs w:val="24"/>
              </w:rPr>
              <w:t>结果纠正</w:t>
            </w:r>
          </w:p>
        </w:tc>
        <w:tc>
          <w:tcPr>
            <w:tcW w:w="600" w:type="dxa"/>
            <w:vMerge w:val="restart"/>
            <w:tcBorders>
              <w:top w:val="single" w:sz="6" w:space="0" w:color="auto"/>
              <w:bottom w:val="single" w:sz="6" w:space="0" w:color="auto"/>
              <w:right w:val="single" w:sz="6" w:space="0" w:color="auto"/>
              <w:tl2br w:val="nil"/>
              <w:tr2bl w:val="nil"/>
            </w:tcBorders>
            <w:vAlign w:val="center"/>
          </w:tcPr>
          <w:p>
            <w:pPr>
              <w:pStyle w:val="17"/>
              <w:ind w:left="0"/>
              <w:jc w:val="center"/>
              <w:rPr>
                <w:vanish w:val="0"/>
              </w:rPr>
            </w:pPr>
            <w:r>
              <w:rPr>
                <w:rFonts w:ascii="宋体" w:eastAsia="宋体" w:hint="eastAsia"/>
                <w:vanish w:val="0"/>
                <w:color w:val="auto"/>
                <w:sz w:val="24"/>
                <w:szCs w:val="24"/>
              </w:rPr>
              <w:t>其他结果</w:t>
            </w:r>
          </w:p>
        </w:tc>
        <w:tc>
          <w:tcPr>
            <w:tcW w:w="600" w:type="dxa"/>
            <w:vMerge w:val="restart"/>
            <w:tcBorders>
              <w:top w:val="single" w:sz="6" w:space="0" w:color="auto"/>
              <w:bottom w:val="single" w:sz="6" w:space="0" w:color="auto"/>
              <w:right w:val="single" w:sz="6" w:space="0" w:color="auto"/>
              <w:tl2br w:val="nil"/>
              <w:tr2bl w:val="nil"/>
            </w:tcBorders>
            <w:vAlign w:val="center"/>
          </w:tcPr>
          <w:p>
            <w:pPr>
              <w:pStyle w:val="17"/>
              <w:ind w:left="0"/>
              <w:jc w:val="center"/>
              <w:rPr>
                <w:vanish w:val="0"/>
              </w:rPr>
            </w:pPr>
            <w:r>
              <w:rPr>
                <w:rFonts w:ascii="宋体" w:eastAsia="宋体" w:hint="eastAsia"/>
                <w:vanish w:val="0"/>
                <w:color w:val="auto"/>
                <w:sz w:val="24"/>
                <w:szCs w:val="24"/>
              </w:rPr>
              <w:t>尚未审结</w:t>
            </w:r>
          </w:p>
        </w:tc>
        <w:tc>
          <w:tcPr>
            <w:tcW w:w="675" w:type="dxa"/>
            <w:vMerge w:val="restart"/>
            <w:tcBorders>
              <w:top w:val="single" w:sz="6" w:space="0" w:color="auto"/>
              <w:bottom w:val="single" w:sz="6" w:space="0" w:color="auto"/>
              <w:right w:val="single" w:sz="6" w:space="0" w:color="auto"/>
              <w:tl2br w:val="nil"/>
              <w:tr2bl w:val="nil"/>
            </w:tcBorders>
            <w:vAlign w:val="center"/>
          </w:tcPr>
          <w:p>
            <w:pPr>
              <w:pStyle w:val="17"/>
              <w:ind w:left="0"/>
              <w:jc w:val="center"/>
              <w:rPr>
                <w:vanish w:val="0"/>
              </w:rPr>
            </w:pPr>
            <w:r>
              <w:rPr>
                <w:rFonts w:ascii="宋体" w:eastAsia="宋体" w:hint="eastAsia"/>
                <w:vanish w:val="0"/>
                <w:color w:val="auto"/>
                <w:sz w:val="24"/>
                <w:szCs w:val="24"/>
              </w:rPr>
              <w:t>总计</w:t>
            </w:r>
          </w:p>
        </w:tc>
        <w:tc>
          <w:tcPr>
            <w:tcW w:w="2970" w:type="dxa"/>
            <w:gridSpan w:val="5"/>
            <w:tcBorders>
              <w:top w:val="single" w:sz="6" w:space="0" w:color="auto"/>
              <w:bottom w:val="single" w:sz="6" w:space="0" w:color="auto"/>
              <w:right w:val="single" w:sz="6" w:space="0" w:color="auto"/>
              <w:tl2br w:val="nil"/>
              <w:tr2bl w:val="nil"/>
            </w:tcBorders>
            <w:vAlign w:val="center"/>
          </w:tcPr>
          <w:p>
            <w:pPr>
              <w:pStyle w:val="17"/>
              <w:ind w:left="0"/>
              <w:jc w:val="center"/>
              <w:rPr>
                <w:vanish w:val="0"/>
              </w:rPr>
            </w:pPr>
            <w:r>
              <w:rPr>
                <w:rFonts w:ascii="宋体" w:eastAsia="宋体" w:hint="eastAsia"/>
                <w:vanish w:val="0"/>
                <w:color w:val="auto"/>
                <w:sz w:val="24"/>
                <w:szCs w:val="24"/>
              </w:rPr>
              <w:t>未经复议直接起诉</w:t>
            </w:r>
          </w:p>
        </w:tc>
        <w:tc>
          <w:tcPr>
            <w:tcW w:w="3030" w:type="dxa"/>
            <w:gridSpan w:val="5"/>
            <w:tcBorders>
              <w:top w:val="single" w:sz="6" w:space="0" w:color="auto"/>
              <w:bottom w:val="single" w:sz="6" w:space="0" w:color="auto"/>
              <w:right w:val="single" w:sz="6" w:space="0" w:color="auto"/>
              <w:tl2br w:val="nil"/>
              <w:tr2bl w:val="nil"/>
            </w:tcBorders>
            <w:vAlign w:val="center"/>
          </w:tcPr>
          <w:p>
            <w:pPr>
              <w:pStyle w:val="17"/>
              <w:ind w:left="0"/>
              <w:jc w:val="center"/>
              <w:rPr>
                <w:vanish w:val="0"/>
              </w:rPr>
            </w:pPr>
            <w:r>
              <w:rPr>
                <w:rFonts w:ascii="宋体" w:eastAsia="宋体" w:hint="eastAsia"/>
                <w:vanish w:val="0"/>
                <w:color w:val="auto"/>
                <w:sz w:val="24"/>
                <w:szCs w:val="24"/>
              </w:rPr>
              <w:t>复议后起诉</w:t>
            </w:r>
          </w:p>
        </w:tc>
      </w:tr>
      <w:tr>
        <w:tc>
          <w:tcPr>
            <w:tcW w:w="735" w:type="dxa"/>
            <w:vMerge/>
            <w:tcBorders>
              <w:left w:val="single" w:sz="6" w:space="0" w:color="auto"/>
              <w:bottom w:val="single" w:sz="6" w:space="0" w:color="auto"/>
              <w:right w:val="single" w:sz="6" w:space="0" w:color="auto"/>
              <w:tl2br w:val="nil"/>
              <w:tr2bl w:val="nil"/>
            </w:tcBorders>
            <w:vAlign w:val="center"/>
          </w:tcPr>
          <w:p/>
        </w:tc>
        <w:tc>
          <w:tcPr>
            <w:tcW w:w="735" w:type="dxa"/>
            <w:vMerge/>
            <w:tcBorders>
              <w:bottom w:val="single" w:sz="6" w:space="0" w:color="auto"/>
              <w:right w:val="single" w:sz="6" w:space="0" w:color="auto"/>
              <w:tl2br w:val="nil"/>
              <w:tr2bl w:val="nil"/>
            </w:tcBorders>
            <w:vAlign w:val="center"/>
          </w:tcPr>
          <w:p/>
        </w:tc>
        <w:tc>
          <w:tcPr>
            <w:tcW w:w="735" w:type="dxa"/>
            <w:vMerge/>
            <w:tcBorders>
              <w:top w:val="single" w:sz="6" w:space="0" w:color="auto"/>
              <w:bottom w:val="single" w:sz="6" w:space="0" w:color="auto"/>
              <w:right w:val="single" w:sz="6" w:space="0" w:color="auto"/>
              <w:tl2br w:val="nil"/>
              <w:tr2bl w:val="nil"/>
            </w:tcBorders>
            <w:vAlign w:val="center"/>
          </w:tcPr>
          <w:p/>
        </w:tc>
        <w:tc>
          <w:tcPr>
            <w:tcW w:w="735" w:type="dxa"/>
            <w:vMerge/>
            <w:tcBorders>
              <w:top w:val="single" w:sz="6" w:space="0" w:color="auto"/>
              <w:bottom w:val="single" w:sz="6" w:space="0" w:color="auto"/>
              <w:right w:val="single" w:sz="6" w:space="0" w:color="auto"/>
              <w:tl2br w:val="nil"/>
              <w:tr2bl w:val="nil"/>
            </w:tcBorders>
            <w:vAlign w:val="center"/>
          </w:tcPr>
          <w:p/>
        </w:tc>
        <w:tc>
          <w:tcPr>
            <w:tcW w:w="735" w:type="dxa"/>
            <w:vMerge/>
            <w:tcBorders>
              <w:top w:val="single" w:sz="6" w:space="0" w:color="auto"/>
              <w:bottom w:val="single" w:sz="6" w:space="0" w:color="auto"/>
              <w:right w:val="single" w:sz="6" w:space="0" w:color="auto"/>
              <w:tl2br w:val="nil"/>
              <w:tr2bl w:val="nil"/>
            </w:tcBorders>
            <w:vAlign w:val="center"/>
          </w:tcPr>
          <w:p/>
        </w:tc>
        <w:tc>
          <w:tcPr>
            <w:tcW w:w="555" w:type="dxa"/>
            <w:tcBorders>
              <w:bottom w:val="single" w:sz="6" w:space="0" w:color="auto"/>
              <w:right w:val="single" w:sz="6" w:space="0" w:color="auto"/>
              <w:tl2br w:val="nil"/>
              <w:tr2bl w:val="nil"/>
            </w:tcBorders>
            <w:vAlign w:val="center"/>
          </w:tcPr>
          <w:p>
            <w:pPr>
              <w:pStyle w:val="17"/>
              <w:ind w:left="0"/>
              <w:jc w:val="center"/>
              <w:rPr>
                <w:vanish w:val="0"/>
              </w:rPr>
            </w:pPr>
            <w:r>
              <w:rPr>
                <w:rFonts w:ascii="宋体" w:eastAsia="宋体" w:hint="eastAsia"/>
                <w:vanish w:val="0"/>
                <w:color w:val="auto"/>
                <w:sz w:val="24"/>
                <w:szCs w:val="24"/>
              </w:rPr>
              <w:t>结果维持</w:t>
            </w:r>
          </w:p>
        </w:tc>
        <w:tc>
          <w:tcPr>
            <w:tcW w:w="600" w:type="dxa"/>
            <w:tcBorders>
              <w:bottom w:val="single" w:sz="6" w:space="0" w:color="auto"/>
              <w:right w:val="single" w:sz="6" w:space="0" w:color="auto"/>
              <w:tl2br w:val="nil"/>
              <w:tr2bl w:val="nil"/>
            </w:tcBorders>
            <w:vAlign w:val="center"/>
          </w:tcPr>
          <w:p>
            <w:pPr>
              <w:pStyle w:val="17"/>
              <w:ind w:left="0"/>
              <w:jc w:val="center"/>
              <w:rPr>
                <w:vanish w:val="0"/>
              </w:rPr>
            </w:pPr>
            <w:r>
              <w:rPr>
                <w:rFonts w:ascii="宋体" w:eastAsia="宋体" w:hint="eastAsia"/>
                <w:vanish w:val="0"/>
                <w:color w:val="auto"/>
                <w:sz w:val="24"/>
                <w:szCs w:val="24"/>
              </w:rPr>
              <w:t>结果纠正</w:t>
            </w:r>
          </w:p>
        </w:tc>
        <w:tc>
          <w:tcPr>
            <w:tcW w:w="600" w:type="dxa"/>
            <w:tcBorders>
              <w:top w:val="single" w:sz="6" w:space="0" w:color="auto"/>
              <w:bottom w:val="single" w:sz="6" w:space="0" w:color="auto"/>
              <w:right w:val="single" w:sz="6" w:space="0" w:color="auto"/>
              <w:tl2br w:val="nil"/>
              <w:tr2bl w:val="nil"/>
            </w:tcBorders>
            <w:vAlign w:val="center"/>
          </w:tcPr>
          <w:p>
            <w:pPr>
              <w:pStyle w:val="17"/>
              <w:ind w:left="0"/>
              <w:jc w:val="center"/>
              <w:rPr>
                <w:vanish w:val="0"/>
              </w:rPr>
            </w:pPr>
            <w:r>
              <w:rPr>
                <w:rFonts w:ascii="宋体" w:eastAsia="宋体" w:hint="eastAsia"/>
                <w:vanish w:val="0"/>
                <w:color w:val="auto"/>
                <w:sz w:val="24"/>
                <w:szCs w:val="24"/>
              </w:rPr>
              <w:t>其他结果</w:t>
            </w:r>
          </w:p>
        </w:tc>
        <w:tc>
          <w:tcPr>
            <w:tcW w:w="600" w:type="dxa"/>
            <w:tcBorders>
              <w:top w:val="single" w:sz="6" w:space="0" w:color="auto"/>
              <w:bottom w:val="single" w:sz="6" w:space="0" w:color="auto"/>
              <w:right w:val="single" w:sz="6" w:space="0" w:color="auto"/>
              <w:tl2br w:val="nil"/>
              <w:tr2bl w:val="nil"/>
            </w:tcBorders>
            <w:vAlign w:val="center"/>
          </w:tcPr>
          <w:p>
            <w:pPr>
              <w:pStyle w:val="17"/>
              <w:ind w:left="0"/>
              <w:jc w:val="center"/>
              <w:rPr>
                <w:vanish w:val="0"/>
              </w:rPr>
            </w:pPr>
            <w:r>
              <w:rPr>
                <w:rFonts w:ascii="宋体" w:eastAsia="宋体" w:hint="eastAsia"/>
                <w:vanish w:val="0"/>
                <w:color w:val="auto"/>
                <w:sz w:val="24"/>
                <w:szCs w:val="24"/>
              </w:rPr>
              <w:t>尚未审结</w:t>
            </w:r>
          </w:p>
        </w:tc>
        <w:tc>
          <w:tcPr>
            <w:tcW w:w="615" w:type="dxa"/>
            <w:tcBorders>
              <w:top w:val="single" w:sz="6" w:space="0" w:color="auto"/>
              <w:bottom w:val="single" w:sz="6" w:space="0" w:color="auto"/>
              <w:right w:val="single" w:sz="6" w:space="0" w:color="auto"/>
              <w:tl2br w:val="nil"/>
              <w:tr2bl w:val="nil"/>
            </w:tcBorders>
            <w:vAlign w:val="center"/>
          </w:tcPr>
          <w:p>
            <w:pPr>
              <w:pStyle w:val="17"/>
              <w:ind w:left="0"/>
              <w:jc w:val="center"/>
              <w:rPr>
                <w:vanish w:val="0"/>
              </w:rPr>
            </w:pPr>
            <w:r>
              <w:rPr>
                <w:rFonts w:ascii="宋体" w:eastAsia="宋体" w:hint="eastAsia"/>
                <w:vanish w:val="0"/>
                <w:color w:val="auto"/>
                <w:sz w:val="24"/>
                <w:szCs w:val="24"/>
              </w:rPr>
              <w:t>总计</w:t>
            </w:r>
          </w:p>
        </w:tc>
        <w:tc>
          <w:tcPr>
            <w:tcW w:w="600" w:type="dxa"/>
            <w:tcBorders>
              <w:top w:val="single" w:sz="6" w:space="0" w:color="auto"/>
              <w:bottom w:val="single" w:sz="6" w:space="0" w:color="auto"/>
              <w:right w:val="single" w:sz="6" w:space="0" w:color="auto"/>
              <w:tl2br w:val="nil"/>
              <w:tr2bl w:val="nil"/>
            </w:tcBorders>
            <w:vAlign w:val="center"/>
          </w:tcPr>
          <w:p>
            <w:pPr>
              <w:pStyle w:val="17"/>
              <w:ind w:left="0"/>
              <w:jc w:val="center"/>
              <w:rPr>
                <w:vanish w:val="0"/>
              </w:rPr>
            </w:pPr>
            <w:r>
              <w:rPr>
                <w:rFonts w:ascii="宋体" w:eastAsia="宋体" w:hint="eastAsia"/>
                <w:vanish w:val="0"/>
                <w:color w:val="auto"/>
                <w:sz w:val="24"/>
                <w:szCs w:val="24"/>
              </w:rPr>
              <w:t>结果维持</w:t>
            </w:r>
          </w:p>
        </w:tc>
        <w:tc>
          <w:tcPr>
            <w:tcW w:w="600" w:type="dxa"/>
            <w:tcBorders>
              <w:top w:val="single" w:sz="6" w:space="0" w:color="auto"/>
              <w:bottom w:val="single" w:sz="6" w:space="0" w:color="auto"/>
              <w:right w:val="single" w:sz="6" w:space="0" w:color="auto"/>
              <w:tl2br w:val="nil"/>
              <w:tr2bl w:val="nil"/>
            </w:tcBorders>
            <w:vAlign w:val="center"/>
          </w:tcPr>
          <w:p>
            <w:pPr>
              <w:pStyle w:val="17"/>
              <w:ind w:left="0"/>
              <w:jc w:val="center"/>
              <w:rPr>
                <w:vanish w:val="0"/>
              </w:rPr>
            </w:pPr>
            <w:r>
              <w:rPr>
                <w:rFonts w:ascii="宋体" w:eastAsia="宋体" w:hint="eastAsia"/>
                <w:vanish w:val="0"/>
                <w:color w:val="auto"/>
                <w:sz w:val="24"/>
                <w:szCs w:val="24"/>
              </w:rPr>
              <w:t>结果纠正</w:t>
            </w:r>
          </w:p>
        </w:tc>
        <w:tc>
          <w:tcPr>
            <w:tcW w:w="600" w:type="dxa"/>
            <w:tcBorders>
              <w:top w:val="single" w:sz="6" w:space="0" w:color="auto"/>
              <w:bottom w:val="single" w:sz="6" w:space="0" w:color="auto"/>
              <w:right w:val="single" w:sz="6" w:space="0" w:color="auto"/>
              <w:tl2br w:val="nil"/>
              <w:tr2bl w:val="nil"/>
            </w:tcBorders>
            <w:vAlign w:val="center"/>
          </w:tcPr>
          <w:p>
            <w:pPr>
              <w:pStyle w:val="17"/>
              <w:ind w:left="0"/>
              <w:jc w:val="center"/>
              <w:rPr>
                <w:vanish w:val="0"/>
              </w:rPr>
            </w:pPr>
            <w:r>
              <w:rPr>
                <w:rFonts w:ascii="宋体" w:eastAsia="宋体" w:hint="eastAsia"/>
                <w:vanish w:val="0"/>
                <w:color w:val="auto"/>
                <w:sz w:val="24"/>
                <w:szCs w:val="24"/>
              </w:rPr>
              <w:t>其他结果</w:t>
            </w:r>
          </w:p>
        </w:tc>
        <w:tc>
          <w:tcPr>
            <w:tcW w:w="600" w:type="dxa"/>
            <w:tcBorders>
              <w:top w:val="single" w:sz="6" w:space="0" w:color="auto"/>
              <w:bottom w:val="single" w:sz="6" w:space="0" w:color="auto"/>
              <w:right w:val="single" w:sz="6" w:space="0" w:color="auto"/>
              <w:tl2br w:val="nil"/>
              <w:tr2bl w:val="nil"/>
            </w:tcBorders>
            <w:vAlign w:val="center"/>
          </w:tcPr>
          <w:p>
            <w:pPr>
              <w:pStyle w:val="17"/>
              <w:ind w:left="0"/>
              <w:jc w:val="center"/>
              <w:rPr>
                <w:vanish w:val="0"/>
              </w:rPr>
            </w:pPr>
            <w:r>
              <w:rPr>
                <w:rFonts w:ascii="宋体" w:eastAsia="宋体" w:hint="eastAsia"/>
                <w:vanish w:val="0"/>
                <w:color w:val="auto"/>
                <w:sz w:val="24"/>
                <w:szCs w:val="24"/>
              </w:rPr>
              <w:t>尚未审结</w:t>
            </w:r>
          </w:p>
        </w:tc>
        <w:tc>
          <w:tcPr>
            <w:tcW w:w="630" w:type="dxa"/>
            <w:tcBorders>
              <w:top w:val="single" w:sz="6" w:space="0" w:color="auto"/>
              <w:bottom w:val="single" w:sz="6" w:space="0" w:color="auto"/>
              <w:right w:val="single" w:sz="6" w:space="0" w:color="auto"/>
              <w:tl2br w:val="nil"/>
              <w:tr2bl w:val="nil"/>
            </w:tcBorders>
            <w:vAlign w:val="center"/>
          </w:tcPr>
          <w:p>
            <w:pPr>
              <w:pStyle w:val="17"/>
              <w:ind w:left="0"/>
              <w:jc w:val="center"/>
              <w:rPr>
                <w:vanish w:val="0"/>
              </w:rPr>
            </w:pPr>
            <w:r>
              <w:rPr>
                <w:rFonts w:ascii="宋体" w:eastAsia="宋体" w:hint="eastAsia"/>
                <w:vanish w:val="0"/>
                <w:color w:val="auto"/>
                <w:sz w:val="24"/>
                <w:szCs w:val="24"/>
              </w:rPr>
              <w:t>总计</w:t>
            </w:r>
          </w:p>
        </w:tc>
      </w:tr>
      <w:tr>
        <w:tc>
          <w:tcPr>
            <w:tcW w:w="600" w:type="dxa"/>
            <w:tcBorders>
              <w:left w:val="single" w:sz="6" w:space="0" w:color="auto"/>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8"/>
                <w:szCs w:val="28"/>
              </w:rPr>
              <w:t>0</w:t>
            </w:r>
          </w:p>
        </w:tc>
        <w:tc>
          <w:tcPr>
            <w:tcW w:w="60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8"/>
                <w:szCs w:val="28"/>
              </w:rPr>
              <w:t>0</w:t>
            </w:r>
          </w:p>
        </w:tc>
        <w:tc>
          <w:tcPr>
            <w:tcW w:w="60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8"/>
                <w:szCs w:val="28"/>
              </w:rPr>
              <w:t>0</w:t>
            </w:r>
          </w:p>
        </w:tc>
        <w:tc>
          <w:tcPr>
            <w:tcW w:w="60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8"/>
                <w:szCs w:val="28"/>
              </w:rPr>
              <w:t>0</w:t>
            </w:r>
          </w:p>
        </w:tc>
        <w:tc>
          <w:tcPr>
            <w:tcW w:w="67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8"/>
                <w:szCs w:val="28"/>
              </w:rPr>
              <w:t>0</w:t>
            </w:r>
          </w:p>
        </w:tc>
        <w:tc>
          <w:tcPr>
            <w:tcW w:w="55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8"/>
                <w:szCs w:val="28"/>
              </w:rPr>
              <w:t>0</w:t>
            </w:r>
          </w:p>
        </w:tc>
        <w:tc>
          <w:tcPr>
            <w:tcW w:w="60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8"/>
                <w:szCs w:val="28"/>
              </w:rPr>
              <w:t>0</w:t>
            </w:r>
          </w:p>
        </w:tc>
        <w:tc>
          <w:tcPr>
            <w:tcW w:w="60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8"/>
                <w:szCs w:val="28"/>
              </w:rPr>
              <w:t>0</w:t>
            </w:r>
          </w:p>
        </w:tc>
        <w:tc>
          <w:tcPr>
            <w:tcW w:w="60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8"/>
                <w:szCs w:val="28"/>
              </w:rPr>
              <w:t>0</w:t>
            </w:r>
          </w:p>
        </w:tc>
        <w:tc>
          <w:tcPr>
            <w:tcW w:w="615"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8"/>
                <w:szCs w:val="28"/>
              </w:rPr>
              <w:t>0</w:t>
            </w:r>
          </w:p>
        </w:tc>
        <w:tc>
          <w:tcPr>
            <w:tcW w:w="60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8"/>
                <w:szCs w:val="28"/>
              </w:rPr>
              <w:t>0</w:t>
            </w:r>
          </w:p>
        </w:tc>
        <w:tc>
          <w:tcPr>
            <w:tcW w:w="60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8"/>
                <w:szCs w:val="28"/>
              </w:rPr>
              <w:t>0</w:t>
            </w:r>
          </w:p>
        </w:tc>
        <w:tc>
          <w:tcPr>
            <w:tcW w:w="60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8"/>
                <w:szCs w:val="28"/>
              </w:rPr>
              <w:t>0</w:t>
            </w:r>
          </w:p>
        </w:tc>
        <w:tc>
          <w:tcPr>
            <w:tcW w:w="60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8"/>
                <w:szCs w:val="28"/>
              </w:rPr>
              <w:t>0</w:t>
            </w:r>
          </w:p>
        </w:tc>
        <w:tc>
          <w:tcPr>
            <w:tcW w:w="630" w:type="dxa"/>
            <w:tcBorders>
              <w:bottom w:val="single" w:sz="6" w:space="0" w:color="auto"/>
              <w:right w:val="single" w:sz="6" w:space="0" w:color="auto"/>
              <w:tl2br w:val="nil"/>
              <w:tr2bl w:val="nil"/>
            </w:tcBorders>
            <w:vAlign w:val="center"/>
          </w:tcPr>
          <w:p>
            <w:pPr>
              <w:pStyle w:val="17"/>
              <w:ind w:left="0"/>
              <w:jc w:val="center"/>
              <w:rPr>
                <w:vanish w:val="0"/>
              </w:rPr>
            </w:pPr>
            <w:r>
              <w:rPr>
                <w:rFonts w:ascii="Times new roman" w:hAnsi="Times new roman"/>
                <w:vanish w:val="0"/>
                <w:color w:val="auto"/>
                <w:sz w:val="28"/>
                <w:szCs w:val="28"/>
              </w:rPr>
              <w:t>0</w:t>
            </w:r>
          </w:p>
        </w:tc>
      </w:tr>
    </w:tbl>
    <w:p>
      <w:pPr>
        <w:pStyle w:val="17"/>
        <w:ind w:left="0"/>
        <w:rPr>
          <w:sz w:val="28"/>
          <w:szCs w:val="28"/>
        </w:rPr>
      </w:pPr>
      <w:r>
        <w:rPr>
          <w:rFonts w:ascii="方正黑体_gbk" w:eastAsia="方正黑体_gbk" w:hint="eastAsia"/>
          <w:color w:val="auto"/>
          <w:sz w:val="28"/>
          <w:szCs w:val="28"/>
        </w:rPr>
        <w:t>五、存在的主要问题及改进情况</w:t>
      </w:r>
    </w:p>
    <w:p>
      <w:pPr>
        <w:pStyle w:val="17"/>
        <w:ind w:firstLineChars="200" w:firstLine="560"/>
        <w:rPr>
          <w:sz w:val="28"/>
          <w:szCs w:val="28"/>
        </w:rPr>
      </w:pPr>
      <w:r>
        <w:rPr>
          <w:rFonts w:ascii="方正楷体_gbk" w:eastAsia="方正楷体_gbk" w:hint="eastAsia"/>
          <w:color w:val="auto"/>
          <w:sz w:val="28"/>
          <w:szCs w:val="28"/>
        </w:rPr>
        <w:t>（一）</w:t>
      </w:r>
      <w:r>
        <w:rPr>
          <w:rFonts w:ascii="Times new roman" w:hAnsi="Times new roman"/>
          <w:color w:val="auto"/>
          <w:sz w:val="28"/>
          <w:szCs w:val="28"/>
        </w:rPr>
        <w:t>2019</w:t>
      </w:r>
      <w:r>
        <w:rPr>
          <w:rFonts w:ascii="方正楷体_gbk" w:eastAsia="方正楷体_gbk" w:hint="eastAsia"/>
          <w:color w:val="auto"/>
          <w:sz w:val="28"/>
          <w:szCs w:val="28"/>
        </w:rPr>
        <w:t>年年报中所提问题整改情况。</w:t>
      </w:r>
      <w:r>
        <w:rPr>
          <w:rFonts w:ascii="Times new roman" w:hAnsi="Times new roman"/>
          <w:color w:val="auto"/>
          <w:sz w:val="28"/>
          <w:szCs w:val="28"/>
        </w:rPr>
        <w:t>2019</w:t>
      </w:r>
      <w:r>
        <w:rPr>
          <w:rFonts w:ascii="方正仿宋_gbk" w:eastAsia="方正仿宋_gbk" w:hint="eastAsia"/>
          <w:color w:val="auto"/>
          <w:sz w:val="28"/>
          <w:szCs w:val="28"/>
        </w:rPr>
        <w:t>年，昆明海关机关存在政府信息公开制度不够完善和政府信息公开从业人员专业能力有待提升等问题。整改情况：一是制修订《昆明海关政府信息依申请公开工作规程》《昆明海关政府信息公开保密审查规程》，不断健全和完善制度规范。二是进一步加强政务公开工作人员的能力提升工作，认真组织对新版《政府信息公开条例》及相关典型案例进行深入学习，积极派员参加总署政务公开培训，不断提升政务公开工作人员的专业水平。</w:t>
      </w:r>
    </w:p>
    <w:p>
      <w:pPr>
        <w:pStyle w:val="17"/>
        <w:ind w:firstLineChars="200" w:firstLine="560"/>
        <w:rPr>
          <w:sz w:val="28"/>
          <w:szCs w:val="28"/>
        </w:rPr>
      </w:pPr>
      <w:r>
        <w:rPr>
          <w:rFonts w:ascii="方正楷体_gbk" w:eastAsia="方正楷体_gbk" w:hint="eastAsia"/>
          <w:color w:val="auto"/>
          <w:sz w:val="28"/>
          <w:szCs w:val="28"/>
        </w:rPr>
        <w:t>（二）目前存在问题。</w:t>
      </w:r>
      <w:r>
        <w:rPr>
          <w:rFonts w:ascii="方正仿宋_gbk" w:eastAsia="方正仿宋_gbk" w:hint="eastAsia"/>
          <w:color w:val="auto"/>
          <w:sz w:val="28"/>
          <w:szCs w:val="28"/>
        </w:rPr>
        <w:t>一是从业人员人力不足。二是从业人员专业性与工作能力还需进一步加强。</w:t>
      </w:r>
    </w:p>
    <w:p>
      <w:pPr>
        <w:pStyle w:val="17"/>
        <w:ind w:left="0"/>
        <w:rPr>
          <w:sz w:val="28"/>
          <w:szCs w:val="28"/>
        </w:rPr>
      </w:pPr>
      <w:r>
        <w:rPr>
          <w:rFonts w:ascii="方正黑体_gbk" w:eastAsia="方正黑体_gbk" w:hint="eastAsia"/>
          <w:color w:val="auto"/>
          <w:sz w:val="28"/>
          <w:szCs w:val="28"/>
        </w:rPr>
        <w:t>六、其他需要报告的事项</w:t>
      </w:r>
    </w:p>
    <w:p>
      <w:pPr>
        <w:pStyle w:val="17"/>
        <w:ind w:firstLineChars="200" w:firstLine="560"/>
        <w:rPr>
          <w:sz w:val="28"/>
          <w:szCs w:val="28"/>
        </w:rPr>
      </w:pPr>
      <w:r>
        <w:rPr>
          <w:rFonts w:ascii="方正仿宋_gbk" w:eastAsia="方正仿宋_gbk" w:hint="eastAsia"/>
          <w:color w:val="auto"/>
          <w:sz w:val="28"/>
          <w:szCs w:val="28"/>
        </w:rPr>
        <w:t>    无。</w:t>
      </w:r>
    </w:p>
    <w:p>
      <w:pPr>
        <w:spacing w:before="100" w:beforeAutospacing="1" w:after="100" w:afterAutospacing="1"/>
        <w:ind w:firstLineChars="200" w:firstLine="480"/>
      </w:pPr>
    </w:p>
    <w:sectPr>
      <w:footerReference w:type="default" r:id="rId2"/>
      <w:pgSz w:w="11907" w:h="16839"/>
      <w:pgMar w:top="1440" w:right="1800" w:bottom="1440" w:left="1800" w:header="851" w:footer="992" w:gutter="0"/>
      <w:docGrid w:linePitch="326"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方正仿宋_gbk">
    <w:altName w:val="宋体"/>
    <w:panose1 w:val="00000000000000000000"/>
    <w:charset w:val="00"/>
    <w:family w:val="auto"/>
    <w:pitch w:val="variable"/>
    <w:sig w:usb0="00000000" w:usb1="00000000" w:usb2="00000000" w:usb3="00000000" w:csb0="00000000" w:csb1="00000000"/>
  </w:font>
  <w:font w:name="Times New Roman">
    <w:panose1 w:val="02020603050405020304"/>
    <w:charset w:val="00"/>
    <w:family w:val="auto"/>
    <w:pitch w:val="variable"/>
    <w:sig w:usb0="00000A87" w:usb1="00000000" w:usb2="00000000" w:usb3="00000000" w:csb0="400001BF" w:csb1="DFF70000"/>
  </w:font>
  <w:font w:name="方正黑体_gbk">
    <w:altName w:val="宋体"/>
    <w:panose1 w:val="00000000000000000000"/>
    <w:charset w:val="00"/>
    <w:family w:val="auto"/>
    <w:pitch w:val="variable"/>
    <w:sig w:usb0="00000000" w:usb1="00000000" w:usb2="00000000" w:usb3="00000000" w:csb0="00000000" w:csb1="00000000"/>
  </w:font>
  <w:font w:name="方正楷体_gbk">
    <w:altName w:val="宋体"/>
    <w:panose1 w:val="00000000000000000000"/>
    <w:charset w:val="00"/>
    <w:family w:val="auto"/>
    <w:pitch w:val="variable"/>
    <w:sig w:usb0="00000000" w:usb1="00000000" w:usb2="00000000" w:usb3="00000000" w:csb0="00000000" w:csb1="00000000"/>
  </w:font>
  <w:font w:name="宋体">
    <w:panose1 w:val="02010600030101010101"/>
    <w:charset w:val="86"/>
    <w:family w:val="auto"/>
    <w:pitch w:val="variable"/>
    <w:sig w:usb0="00000003" w:usb1="080E0000" w:usb2="00000000" w:usb3="00000000" w:csb0="00040001" w:csb1="00000000"/>
  </w:font>
  <w:font w:name="楷体">
    <w:panose1 w:val="02010609060101010101"/>
    <w:charset w:val="86"/>
    <w:family w:val="auto"/>
    <w:pitch w:val="variable"/>
    <w:sig w:usb0="800002BF" w:usb1="38CF7CFA" w:usb2="00000016" w:usb3="00000000" w:csb0="00040001" w:csb1="00000000"/>
  </w:font>
  <w:font w:name="Times New Roman">
    <w:panose1 w:val="02020603050405020304"/>
    <w:charset w:val="00"/>
    <w:family w:val="auto"/>
    <w:pitch w:val="variable"/>
    <w:sig w:usb0="00000A87" w:usb1="00000000" w:usb2="00000000" w:usb3="00000000" w:csb0="400001BF" w:csb1="DFF70000"/>
  </w:font>
  <w:font w:name="Arial">
    <w:panose1 w:val="020B0604020202020204"/>
    <w:charset w:val="00"/>
    <w:family w:val="auto"/>
    <w:pitch w:val="variable"/>
    <w:sig w:usb0="00007A87" w:usb1="80000000" w:usb2="00000008" w:usb3="00000000" w:csb0="400001FF" w:csb1="FFFF0000"/>
  </w:font>
  <w:font w:name="黑体">
    <w:panose1 w:val="02010600030101010101"/>
    <w:charset w:val="86"/>
    <w:family w:val="auto"/>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7"/>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3</w:t>
    </w:r>
    <w:r>
      <w:rPr>
        <w:sz w:val="32"/>
        <w:szCs w:val="32"/>
      </w:rPr>
      <w:fldChar w:fldCharType="end"/>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04"/>
  <w:doNotDisplayPageBoundaries/>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left"/>
    </w:pPr>
    <w:rPr>
      <w:rFonts w:ascii="宋体" w:eastAsia="宋体" w:cs="Times New Roman"/>
      <w:kern w:val="2"/>
      <w:sz w:val="24"/>
      <w:szCs w:val="21"/>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7"/>
      </w:tabs>
      <w:snapToGrid w:val="0"/>
      <w:jc w:val="center"/>
    </w:pPr>
    <w:rPr>
      <w:sz w:val="18"/>
    </w:rPr>
  </w:style>
  <w:style w:type="paragraph" w:styleId="16">
    <w:name w:val="footer"/>
    <w:basedOn w:val="0"/>
    <w:pPr>
      <w:tabs>
        <w:tab w:val="center" w:pos="4153"/>
        <w:tab w:val="right" w:pos="8307"/>
      </w:tabs>
      <w:snapToGrid w:val="0"/>
      <w:jc w:val="left"/>
    </w:pPr>
    <w:rPr>
      <w:sz w:val="18"/>
    </w:rPr>
  </w:style>
  <w:style w:type="paragraph" w:styleId="17">
    <w:name w:val="Normal (Web)"/>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9</TotalTime>
  <Application>Yozo_Office</Application>
  <Pages>1</Pages>
  <Words>105</Words>
  <Characters>105</Characters>
  <Lines>105</Lines>
  <Paragraphs>105</Paragraphs>
  <CharactersWithSpaces>105</CharactersWithSpaces>
  <Company>P R C</Company>
</Properties>
</file>

<file path=docProps/core.xml><?xml version="1.0" encoding="utf-8"?>
<cp:coreProperties xmlns:cp="http://schemas.openxmlformats.org/package/2006/metadata/core-properties" xmlns:dc="http://purl.org/dc/elements/1.1/" xmlns:dcterms="http://purl.org/dc/terms/" xmlns:xsi="http://www.w3.org/2001/XMLSchema-instance">
  <dc:creator>资凡</dc:creator>
  <cp:lastModifiedBy>资凡</cp:lastModifiedBy>
  <cp:revision>1</cp:revision>
  <dcterms:created xsi:type="dcterms:W3CDTF">2023-04-04T09:41:38Z</dcterms:created>
  <dcterms:modified xsi:type="dcterms:W3CDTF">2025-06-20T02:10:33Z</dcterms:modified>
</cp:coreProperties>
</file>