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9"/>
        <w:spacing w:line="560" w:lineRule="exact"/>
        <w:outlineLvl w:val="0"/>
        <w:rPr>
          <w:rFonts w:eastAsia="方正黑体_GBK" w:cs="Times New Roman"/>
          <w:sz w:val="32"/>
          <w:szCs w:val="32"/>
        </w:rPr>
      </w:pPr>
      <w:r>
        <w:rPr>
          <w:rFonts w:eastAsia="方正黑体_GBK" w:hint="eastAsia"/>
          <w:sz w:val="32"/>
          <w:szCs w:val="32"/>
        </w:rPr>
        <w:t>附件</w:t>
      </w:r>
      <w:r>
        <w:rPr>
          <w:rFonts w:eastAsia="方正黑体_GBK" w:cs="Times New Roman"/>
          <w:sz w:val="32"/>
          <w:szCs w:val="32"/>
        </w:rPr>
        <w:t>6</w:t>
      </w:r>
    </w:p>
    <w:p>
      <w:pPr>
        <w:pStyle w:val="18"/>
        <w:numPr>
          <w:ilvl w:val="0"/>
          <w:numId w:val="0"/>
        </w:numPr>
        <w:spacing w:line="594" w:lineRule="exact"/>
        <w:ind w:left="0" w:firstLine="0"/>
        <w:outlineLvl w:val="0"/>
      </w:pPr>
    </w:p>
    <w:p>
      <w:pPr>
        <w:pStyle w:val="20"/>
        <w:widowControl/>
        <w:spacing w:beforeLines="0" w:before="0" w:afterLines="0" w:after="0" w:line="560" w:lineRule="exact"/>
        <w:jc w:val="center"/>
        <w:outlineLvl w:val="0"/>
        <w:rPr>
          <w:rFonts w:ascii="Times New Roman" w:eastAsia="方正小标宋_GBK" w:cs="Times New Roman" w:hAnsi="Times New Roman" w:hint="eastAsia"/>
          <w:spacing w:val="-6"/>
          <w:sz w:val="44"/>
          <w:szCs w:val="44"/>
        </w:rPr>
      </w:pPr>
      <w:bookmarkStart w:id="0" w:name="_Toc47634518"/>
      <w:bookmarkStart w:id="1" w:name="_Toc47634544"/>
      <w:bookmarkStart w:id="2" w:name="_Toc25096758"/>
      <w:bookmarkStart w:id="3" w:name="_GoBack"/>
      <w:r>
        <w:rPr>
          <w:rFonts w:ascii="Times New Roman" w:eastAsia="方正小标宋_GBK" w:cs="Times New Roman" w:hAnsi="Times New Roman"/>
          <w:spacing w:val="-6"/>
          <w:sz w:val="44"/>
          <w:szCs w:val="44"/>
        </w:rPr>
        <w:t>昆明</w:t>
      </w:r>
      <w:r>
        <w:rPr>
          <w:rFonts w:ascii="Times New Roman" w:eastAsia="方正小标宋_GBK" w:cs="Times New Roman" w:hAnsi="Times New Roman" w:hint="eastAsia"/>
          <w:spacing w:val="-6"/>
          <w:sz w:val="44"/>
          <w:szCs w:val="44"/>
        </w:rPr>
        <w:t>海关口岸监管环节恐怖袭击事件应急预案</w:t>
      </w:r>
      <w:bookmarkEnd w:id="0"/>
      <w:bookmarkEnd w:id="1"/>
      <w:bookmarkEnd w:id="2"/>
    </w:p>
    <w:p>
      <w:pPr>
        <w:pStyle w:val="21"/>
        <w:tabs>
          <w:tab w:val="right" w:leader="dot" w:pos="8312"/>
        </w:tabs>
        <w:spacing w:before="0" w:after="0" w:line="560" w:lineRule="exact"/>
        <w:ind w:firstLineChars="200" w:firstLine="640"/>
        <w:rPr>
          <w:rFonts w:ascii="Times New Roman" w:eastAsia="方正黑体_GBK" w:hAnsi="Times New Roman"/>
          <w:sz w:val="32"/>
        </w:rPr>
      </w:pPr>
      <w:bookmarkEnd w:id="3"/>
    </w:p>
    <w:p>
      <w:pPr>
        <w:pStyle w:val="21"/>
        <w:tabs>
          <w:tab w:val="right" w:leader="dot" w:pos="8312"/>
        </w:tabs>
        <w:spacing w:before="0" w:after="0" w:line="560" w:lineRule="exact"/>
        <w:ind w:firstLineChars="200" w:firstLine="640"/>
        <w:rPr>
          <w:rFonts w:ascii="Times New Roman" w:hAnsi="Times New Roman"/>
          <w:spacing w:val="-6"/>
          <w:kern w:val="2"/>
          <w:szCs w:val="32"/>
        </w:rPr>
      </w:pPr>
      <w:r>
        <w:rPr>
          <w:rFonts w:ascii="Times New Roman" w:eastAsia="方正黑体_GBK" w:hAnsi="Times New Roman"/>
          <w:sz w:val="32"/>
        </w:rPr>
        <w:t>1总则</w:t>
      </w:r>
    </w:p>
    <w:p>
      <w:pPr>
        <w:pStyle w:val="22"/>
        <w:spacing w:before="0" w:beforeAutospacing="0" w:after="0" w:afterAutospacing="0" w:line="560" w:lineRule="exact"/>
        <w:outlineLvl w:val="9"/>
        <w:rPr>
          <w:rFonts w:ascii="Times New Roman" w:eastAsia="方正楷体_GBK" w:cs="Times New Roman" w:hAnsi="Times New Roman"/>
          <w:bCs w:val="0"/>
          <w:spacing w:val="-6"/>
          <w:kern w:val="2"/>
          <w:sz w:val="32"/>
          <w:szCs w:val="32"/>
        </w:rPr>
      </w:pPr>
      <w:bookmarkStart w:id="4" w:name="_Toc15941410"/>
      <w:bookmarkStart w:id="5" w:name="_Toc3928"/>
      <w:bookmarkStart w:id="6" w:name="_Toc10448"/>
      <w:bookmarkStart w:id="7" w:name="_Toc15941183"/>
      <w:bookmarkStart w:id="8" w:name="_Toc15941240"/>
      <w:r>
        <w:rPr>
          <w:rFonts w:ascii="Times New Roman" w:eastAsia="方正楷体_GBK" w:cs="Times New Roman" w:hAnsi="Times New Roman"/>
          <w:bCs w:val="0"/>
          <w:spacing w:val="-6"/>
          <w:kern w:val="2"/>
          <w:sz w:val="32"/>
          <w:szCs w:val="32"/>
        </w:rPr>
        <w:t xml:space="preserve">    1.1编制目的</w:t>
      </w:r>
      <w:bookmarkEnd w:id="4"/>
      <w:bookmarkEnd w:id="5"/>
      <w:bookmarkEnd w:id="6"/>
      <w:bookmarkEnd w:id="7"/>
      <w:bookmarkEnd w:id="8"/>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建立昆明海关口岸监管环节恐怖袭击事件（以下简称</w:t>
      </w:r>
      <w:r>
        <w:rPr>
          <w:rFonts w:ascii="Times New Roman" w:eastAsia="方正仿宋_GBK" w:cs="Times New Roman" w:hAnsi="Times New Roman" w:hint="eastAsia"/>
          <w:spacing w:val="-6"/>
          <w:sz w:val="32"/>
          <w:szCs w:val="32"/>
        </w:rPr>
        <w:t>“</w:t>
      </w:r>
      <w:r>
        <w:rPr>
          <w:rFonts w:ascii="Times New Roman" w:eastAsia="方正仿宋_GBK" w:cs="Times New Roman" w:hAnsi="Times New Roman"/>
          <w:spacing w:val="-6"/>
          <w:sz w:val="32"/>
          <w:szCs w:val="32"/>
        </w:rPr>
        <w:t>恐怖袭击事件</w:t>
      </w:r>
      <w:r>
        <w:rPr>
          <w:rFonts w:ascii="Times New Roman" w:eastAsia="方正仿宋_GBK" w:cs="Times New Roman" w:hAnsi="Times New Roman" w:hint="eastAsia"/>
          <w:spacing w:val="-6"/>
          <w:sz w:val="32"/>
          <w:szCs w:val="32"/>
        </w:rPr>
        <w:t>”</w:t>
      </w:r>
      <w:r>
        <w:rPr>
          <w:rFonts w:ascii="Times New Roman" w:eastAsia="方正仿宋_GBK" w:cs="Times New Roman" w:hAnsi="Times New Roman"/>
          <w:spacing w:val="-6"/>
          <w:sz w:val="32"/>
          <w:szCs w:val="32"/>
        </w:rPr>
        <w:t>）的防范应急机制，提高昆明海关预防和应对恐怖袭击事件的意识和能力，依法、规范、科学、高效应对恐怖袭击事件，最大程度地预防恐怖袭击事件，减少其</w:t>
      </w:r>
      <w:r>
        <w:rPr>
          <w:rFonts w:ascii="Times New Roman" w:eastAsia="方正仿宋_GBK" w:cs="Times New Roman" w:hAnsi="Times New Roman" w:hint="eastAsia"/>
          <w:spacing w:val="-6"/>
          <w:sz w:val="32"/>
          <w:szCs w:val="32"/>
        </w:rPr>
        <w:t>可能</w:t>
      </w:r>
      <w:r>
        <w:rPr>
          <w:rFonts w:ascii="Times New Roman" w:eastAsia="方正仿宋_GBK" w:cs="Times New Roman" w:hAnsi="Times New Roman"/>
          <w:spacing w:val="-6"/>
          <w:sz w:val="32"/>
          <w:szCs w:val="32"/>
        </w:rPr>
        <w:t>造成的损害，保护公众生命财产安全，维护国家安全和社会稳定。</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9" w:name="_Toc15941411"/>
      <w:bookmarkStart w:id="10" w:name="_Toc17701"/>
      <w:bookmarkStart w:id="11" w:name="_Toc21279"/>
      <w:bookmarkStart w:id="12" w:name="_Toc15941184"/>
      <w:bookmarkStart w:id="13" w:name="_Toc15941241"/>
      <w:r>
        <w:rPr>
          <w:rFonts w:ascii="Times New Roman" w:eastAsia="方正楷体_GBK" w:cs="Times New Roman" w:hAnsi="Times New Roman"/>
          <w:bCs w:val="0"/>
          <w:spacing w:val="-6"/>
          <w:kern w:val="2"/>
          <w:sz w:val="32"/>
          <w:szCs w:val="32"/>
        </w:rPr>
        <w:t>1.2编制依据</w:t>
      </w:r>
      <w:bookmarkEnd w:id="9"/>
      <w:bookmarkEnd w:id="10"/>
      <w:bookmarkEnd w:id="11"/>
      <w:bookmarkEnd w:id="12"/>
      <w:bookmarkEnd w:id="13"/>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依据《</w:t>
      </w:r>
      <w:r>
        <w:rPr>
          <w:rFonts w:ascii="Times New Roman" w:eastAsia="方正仿宋_GBK" w:cs="Times New Roman" w:hAnsi="Times New Roman" w:hint="eastAsia"/>
          <w:spacing w:val="-6"/>
          <w:sz w:val="32"/>
          <w:szCs w:val="32"/>
        </w:rPr>
        <w:t>海关口岸监管环节恐怖袭击事件应急预案</w:t>
      </w:r>
      <w:r>
        <w:rPr>
          <w:rFonts w:ascii="Times New Roman" w:eastAsia="方正仿宋_GBK" w:cs="Times New Roman" w:hAnsi="Times New Roman"/>
          <w:spacing w:val="-6"/>
          <w:sz w:val="32"/>
          <w:szCs w:val="32"/>
        </w:rPr>
        <w:t>》《昆明海关突发事件应急预案》，制定本专项应急预案。</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14" w:name="_Toc15941412"/>
      <w:bookmarkStart w:id="15" w:name="_Toc17011"/>
      <w:bookmarkStart w:id="16" w:name="_Toc25854"/>
      <w:bookmarkStart w:id="17" w:name="_Toc15941185"/>
      <w:bookmarkStart w:id="18" w:name="_Toc15941242"/>
      <w:r>
        <w:rPr>
          <w:rFonts w:ascii="Times New Roman" w:eastAsia="方正楷体_GBK" w:cs="Times New Roman" w:hAnsi="Times New Roman"/>
          <w:bCs w:val="0"/>
          <w:spacing w:val="-6"/>
          <w:kern w:val="2"/>
          <w:sz w:val="32"/>
          <w:szCs w:val="32"/>
        </w:rPr>
        <w:t>1.3适用范围</w:t>
      </w:r>
      <w:bookmarkEnd w:id="14"/>
      <w:bookmarkEnd w:id="15"/>
      <w:bookmarkEnd w:id="16"/>
      <w:bookmarkEnd w:id="17"/>
      <w:bookmarkEnd w:id="18"/>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本预案适用于应对发生在昆明海关口岸监管环节的恐怖袭击事件，主要包括：</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（l）核与辐射恐怖袭击事件。通过核爆炸、散布核与放射性物质等手段，危害人身安全及运输工具、货物、物品、设备设施等财产安全的；</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（2）生物恐怖袭击事件。利用有害生物或有害生物制品进行袭击，危害人身安全及运输工具、货物、物品、设备设施等财产安全的；</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（3）化学恐怖袭击事件。利用化学有毒有害物质进行袭击，危害人身安全及运输工具、货物、物品、设备设施等财产安全的；</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（4）砍杀冲撞类恐怖袭击事件。利用爆炸、纵火、冲撞、砍杀、枪击等手段，攻击现场人员，危害运输工具、货物、物品、设备设施等财产安全的；</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（5）劫持类恐怖袭击事件。劫持人员或劫持运输工具，造成或可能造成重大影响，危害人身安全及运输工具、货物、物品、设备设施等财产安全的。</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19" w:name="_Toc15941413"/>
      <w:bookmarkStart w:id="20" w:name="_Toc18219"/>
      <w:bookmarkStart w:id="21" w:name="_Toc10006"/>
      <w:bookmarkStart w:id="22" w:name="_Toc15941186"/>
      <w:bookmarkStart w:id="23" w:name="_Toc15941243"/>
      <w:r>
        <w:rPr>
          <w:rFonts w:ascii="Times New Roman" w:eastAsia="方正楷体_GBK" w:cs="Times New Roman" w:hAnsi="Times New Roman"/>
          <w:bCs w:val="0"/>
          <w:spacing w:val="-6"/>
          <w:kern w:val="2"/>
          <w:sz w:val="32"/>
          <w:szCs w:val="32"/>
        </w:rPr>
        <w:t>1.4工作原则</w:t>
      </w:r>
      <w:bookmarkEnd w:id="19"/>
      <w:bookmarkEnd w:id="20"/>
      <w:bookmarkEnd w:id="21"/>
      <w:bookmarkEnd w:id="22"/>
      <w:bookmarkEnd w:id="23"/>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（l）依法依规。应对恐怖袭击事件应当严格依照相关法律、法规的规定，各项措施应当与恐怖活动的性质、危害</w:t>
      </w:r>
      <w:r>
        <w:rPr>
          <w:rFonts w:ascii="Times New Roman" w:eastAsia="方正仿宋_GBK" w:cs="Times New Roman" w:hAnsi="Times New Roman" w:hint="eastAsia"/>
          <w:spacing w:val="-6"/>
          <w:sz w:val="32"/>
          <w:szCs w:val="32"/>
        </w:rPr>
        <w:t>程度</w:t>
      </w:r>
      <w:r>
        <w:rPr>
          <w:rFonts w:ascii="Times New Roman" w:eastAsia="方正仿宋_GBK" w:cs="Times New Roman" w:hAnsi="Times New Roman"/>
          <w:spacing w:val="-6"/>
          <w:sz w:val="32"/>
          <w:szCs w:val="32"/>
        </w:rPr>
        <w:t>及</w:t>
      </w:r>
      <w:r>
        <w:rPr>
          <w:rFonts w:ascii="Times New Roman" w:eastAsia="方正仿宋_GBK" w:cs="Times New Roman" w:hAnsi="Times New Roman" w:hint="eastAsia"/>
          <w:spacing w:val="-6"/>
          <w:sz w:val="32"/>
          <w:szCs w:val="32"/>
        </w:rPr>
        <w:t>后果</w:t>
      </w:r>
      <w:r>
        <w:rPr>
          <w:rFonts w:ascii="Times New Roman" w:eastAsia="方正仿宋_GBK" w:cs="Times New Roman" w:hAnsi="Times New Roman"/>
          <w:spacing w:val="-6"/>
          <w:sz w:val="32"/>
          <w:szCs w:val="32"/>
        </w:rPr>
        <w:t>相适应。</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（2）统一指挥。应对恐怖袭击事件应当坚持统一领导、属地管理、分级负责，在属地反</w:t>
      </w:r>
      <w:r>
        <w:rPr>
          <w:rFonts w:ascii="Times New Roman" w:eastAsia="方正仿宋_GBK" w:cs="Times New Roman" w:hAnsi="Times New Roman" w:hint="eastAsia"/>
          <w:spacing w:val="-6"/>
          <w:sz w:val="32"/>
          <w:szCs w:val="32"/>
        </w:rPr>
        <w:t>恐怖工作</w:t>
      </w:r>
      <w:r>
        <w:rPr>
          <w:rFonts w:ascii="Times New Roman" w:eastAsia="方正仿宋_GBK" w:cs="Times New Roman" w:hAnsi="Times New Roman"/>
          <w:spacing w:val="-6"/>
          <w:sz w:val="32"/>
          <w:szCs w:val="32"/>
        </w:rPr>
        <w:t>主管部门领导下，发挥海关职能作用协同应对。</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（3）以人为本。坚决将保障公众健康和生命安全作为应对恐怖袭击事件的首要任务，最大限度地避免和减少人员伤亡。</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（4）快速高效。建立应对恐怖袭击事件的快速反应机制，坚决果断，消除危害，稳妥善后，保障有力，准确、及时收集和反馈信息。</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（5）专业处置。海关应对恐怖袭击事件要坚持专业力量处置，建立与相关部门的联系机制，积极配合专业力量处置恐怖袭击事件。</w:t>
      </w:r>
    </w:p>
    <w:p>
      <w:pPr>
        <w:pStyle w:val="24"/>
        <w:spacing w:line="560" w:lineRule="exact"/>
        <w:ind w:firstLineChars="200" w:firstLine="616"/>
        <w:jc w:val="left"/>
        <w:outlineLvl w:val="9"/>
        <w:rPr>
          <w:rFonts w:eastAsia="方正黑体_GBK"/>
          <w:b w:val="0"/>
          <w:spacing w:val="-6"/>
          <w:sz w:val="32"/>
          <w:szCs w:val="32"/>
        </w:rPr>
      </w:pPr>
      <w:bookmarkStart w:id="24" w:name="_Toc15941414"/>
      <w:bookmarkStart w:id="25" w:name="_Toc31095"/>
      <w:bookmarkStart w:id="26" w:name="_Toc15031"/>
      <w:bookmarkStart w:id="27" w:name="_Toc15941187"/>
      <w:bookmarkStart w:id="28" w:name="_Toc15941244"/>
      <w:r>
        <w:rPr>
          <w:rFonts w:eastAsia="方正黑体_GBK"/>
          <w:b w:val="0"/>
          <w:spacing w:val="-6"/>
          <w:sz w:val="32"/>
          <w:szCs w:val="32"/>
        </w:rPr>
        <w:t>2应急指挥体系</w:t>
      </w:r>
      <w:bookmarkEnd w:id="24"/>
      <w:bookmarkEnd w:id="25"/>
      <w:bookmarkEnd w:id="26"/>
      <w:bookmarkEnd w:id="27"/>
      <w:bookmarkEnd w:id="28"/>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29" w:name="_Toc15941415"/>
      <w:bookmarkStart w:id="30" w:name="_Toc32680"/>
      <w:bookmarkStart w:id="31" w:name="_Toc11658"/>
      <w:bookmarkStart w:id="32" w:name="_Toc15941188"/>
      <w:bookmarkStart w:id="33" w:name="_Toc15941245"/>
      <w:r>
        <w:rPr>
          <w:rFonts w:ascii="Times New Roman" w:eastAsia="方正楷体_GBK" w:cs="Times New Roman" w:hAnsi="Times New Roman"/>
          <w:bCs w:val="0"/>
          <w:spacing w:val="-6"/>
          <w:kern w:val="2"/>
          <w:sz w:val="32"/>
          <w:szCs w:val="32"/>
        </w:rPr>
        <w:t>2.1应急指挥部</w:t>
      </w:r>
      <w:bookmarkEnd w:id="29"/>
      <w:bookmarkEnd w:id="30"/>
      <w:bookmarkEnd w:id="31"/>
      <w:bookmarkEnd w:id="32"/>
      <w:bookmarkEnd w:id="33"/>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昆明海关口岸监管环节恐怖袭击事件应急组织指挥体系分为两级，由昆明海关和隶属海关构成。</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昆明海关成立直属海关层级的口岸监管环节恐怖袭击事件</w:t>
      </w:r>
      <w:r>
        <w:rPr>
          <w:rFonts w:ascii="Times New Roman" w:eastAsia="方正仿宋_GBK" w:cs="Times New Roman" w:hAnsi="Times New Roman" w:hint="eastAsia"/>
          <w:spacing w:val="-6"/>
          <w:sz w:val="32"/>
          <w:szCs w:val="32"/>
        </w:rPr>
        <w:t>专项</w:t>
      </w:r>
      <w:r>
        <w:rPr>
          <w:rFonts w:ascii="Times New Roman" w:eastAsia="方正仿宋_GBK" w:cs="Times New Roman" w:hAnsi="Times New Roman"/>
          <w:spacing w:val="-6"/>
          <w:sz w:val="32"/>
          <w:szCs w:val="32"/>
        </w:rPr>
        <w:t>应急指挥部（以下简称</w:t>
      </w:r>
      <w:r>
        <w:rPr>
          <w:rFonts w:ascii="Times New Roman" w:eastAsia="方正仿宋_GBK" w:cs="方正仿宋_GBK" w:hAnsi="Times New Roman" w:hint="eastAsia"/>
          <w:spacing w:val="-6"/>
          <w:sz w:val="32"/>
          <w:szCs w:val="32"/>
        </w:rPr>
        <w:t>“应急指挥部”</w:t>
      </w:r>
      <w:r>
        <w:rPr>
          <w:rFonts w:ascii="Times New Roman" w:eastAsia="方正仿宋_GBK" w:cs="Times New Roman" w:hAnsi="Times New Roman"/>
          <w:spacing w:val="-6"/>
          <w:sz w:val="32"/>
          <w:szCs w:val="32"/>
        </w:rPr>
        <w:t>），负责统筹协调全关区恐怖袭击事件的应急工作。应急指挥部总指挥由分管海关口岸监管工作的关领导担任；副总指挥由昆明海关办公室、口岸监管处主要负责同志担任。</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各隶属海关应</w:t>
      </w:r>
      <w:r>
        <w:rPr>
          <w:rFonts w:ascii="Times New Roman" w:eastAsia="方正仿宋_GBK" w:cs="Times New Roman" w:hAnsi="Times New Roman" w:hint="eastAsia"/>
          <w:spacing w:val="-6"/>
          <w:sz w:val="32"/>
          <w:szCs w:val="32"/>
        </w:rPr>
        <w:t>参照本预案</w:t>
      </w:r>
      <w:r>
        <w:rPr>
          <w:rFonts w:ascii="Times New Roman" w:eastAsia="方正仿宋_GBK" w:cs="Times New Roman" w:hAnsi="Times New Roman"/>
          <w:spacing w:val="-6"/>
          <w:sz w:val="32"/>
          <w:szCs w:val="32"/>
        </w:rPr>
        <w:t>分别成立本级海关应急指挥部，负责统筹协调和指挥本级海关管辖范围内的恐怖袭击事件应急工作。</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34" w:name="_Toc15941416"/>
      <w:bookmarkStart w:id="35" w:name="_Toc14989"/>
      <w:bookmarkStart w:id="36" w:name="_Toc22940"/>
      <w:bookmarkStart w:id="37" w:name="_Toc15941189"/>
      <w:bookmarkStart w:id="38" w:name="_Toc15941246"/>
      <w:r>
        <w:rPr>
          <w:rFonts w:ascii="Times New Roman" w:eastAsia="方正楷体_GBK" w:cs="Times New Roman" w:hAnsi="Times New Roman"/>
          <w:bCs w:val="0"/>
          <w:spacing w:val="-6"/>
          <w:kern w:val="2"/>
          <w:sz w:val="32"/>
          <w:szCs w:val="32"/>
        </w:rPr>
        <w:t>2.2应急指挥部办公室</w:t>
      </w:r>
      <w:bookmarkEnd w:id="34"/>
      <w:bookmarkEnd w:id="35"/>
      <w:bookmarkEnd w:id="36"/>
      <w:bookmarkEnd w:id="37"/>
      <w:bookmarkEnd w:id="38"/>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昆明海关和各隶属海关应急指挥部下设办公室，办公室设在口岸监管处（科）或负责口岸监管环节反恐怖工作的相关部门，主要负责信息接收报送、指令传达、情报研判等。</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39" w:name="_Toc15941417"/>
      <w:bookmarkStart w:id="40" w:name="_Toc4387"/>
      <w:bookmarkStart w:id="41" w:name="_Toc16626"/>
      <w:bookmarkStart w:id="42" w:name="_Toc15941190"/>
      <w:bookmarkStart w:id="43" w:name="_Toc15941247"/>
      <w:r>
        <w:rPr>
          <w:rFonts w:ascii="Times New Roman" w:eastAsia="方正楷体_GBK" w:cs="Times New Roman" w:hAnsi="Times New Roman"/>
          <w:bCs w:val="0"/>
          <w:spacing w:val="-6"/>
          <w:kern w:val="2"/>
          <w:sz w:val="32"/>
          <w:szCs w:val="32"/>
        </w:rPr>
        <w:t>2.3应急指挥部成员</w:t>
      </w:r>
      <w:bookmarkEnd w:id="39"/>
      <w:bookmarkEnd w:id="40"/>
      <w:bookmarkEnd w:id="41"/>
      <w:bookmarkEnd w:id="42"/>
      <w:bookmarkEnd w:id="43"/>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昆明海关应急指挥部</w:t>
      </w:r>
      <w:r>
        <w:rPr>
          <w:rFonts w:ascii="Times New Roman" w:eastAsia="方正仿宋_GBK" w:cs="Times New Roman" w:hAnsi="Times New Roman" w:hint="eastAsia"/>
          <w:spacing w:val="-6"/>
          <w:sz w:val="32"/>
          <w:szCs w:val="32"/>
        </w:rPr>
        <w:t>成员</w:t>
      </w:r>
      <w:r>
        <w:rPr>
          <w:rFonts w:ascii="Times New Roman" w:eastAsia="方正仿宋_GBK" w:cs="Times New Roman" w:hAnsi="Times New Roman"/>
          <w:spacing w:val="-6"/>
          <w:sz w:val="32"/>
          <w:szCs w:val="32"/>
        </w:rPr>
        <w:t>由办公室、法规处、综合业务处、卫生检疫处、动植物检疫处、进出口食品安全处、商品检验处、口岸监管处、行邮监管处、缉私局、财务处、科技处、人事处、教育处、后勤管理中心、</w:t>
      </w:r>
      <w:r>
        <w:rPr>
          <w:rStyle w:val="57Char"/>
          <w:rFonts w:eastAsia="方正仿宋_GBK" w:hint="eastAsia"/>
          <w:sz w:val="32"/>
          <w:szCs w:val="32"/>
          <w:bdr w:val="none" w:sz="0" w:space="0" w:color="auto"/>
        </w:rPr>
        <w:t>田蓬海关（业务运行监控指挥中心）</w:t>
      </w:r>
      <w:r>
        <w:rPr>
          <w:rStyle w:val="57Char"/>
          <w:rFonts w:eastAsia="方正仿宋_GBK"/>
          <w:sz w:val="32"/>
          <w:szCs w:val="32"/>
          <w:bdr w:val="none" w:sz="0" w:space="0" w:color="auto"/>
        </w:rPr>
        <w:t>、</w:t>
      </w:r>
      <w:r>
        <w:rPr>
          <w:rFonts w:ascii="Times New Roman" w:eastAsia="方正仿宋_GBK" w:cs="Times New Roman" w:hAnsi="Times New Roman"/>
          <w:spacing w:val="-6"/>
          <w:sz w:val="32"/>
          <w:szCs w:val="32"/>
        </w:rPr>
        <w:t>风险防控分局</w:t>
      </w:r>
      <w:r>
        <w:rPr>
          <w:rFonts w:ascii="Times New Roman" w:eastAsia="方正仿宋_GBK" w:cs="Times New Roman" w:hAnsi="Times New Roman" w:hint="eastAsia"/>
          <w:spacing w:val="-6"/>
          <w:sz w:val="32"/>
          <w:szCs w:val="32"/>
        </w:rPr>
        <w:t>各一名</w:t>
      </w:r>
      <w:r>
        <w:rPr>
          <w:rFonts w:ascii="Times New Roman" w:eastAsia="方正仿宋_GBK" w:cs="Times New Roman" w:hAnsi="Times New Roman"/>
          <w:spacing w:val="-6"/>
          <w:sz w:val="32"/>
          <w:szCs w:val="32"/>
        </w:rPr>
        <w:t>领导</w:t>
      </w:r>
      <w:r>
        <w:rPr>
          <w:rFonts w:ascii="Times New Roman" w:eastAsia="方正仿宋_GBK" w:cs="Times New Roman" w:hAnsi="Times New Roman" w:hint="eastAsia"/>
          <w:spacing w:val="-6"/>
          <w:sz w:val="32"/>
          <w:szCs w:val="32"/>
        </w:rPr>
        <w:t>担任</w:t>
      </w:r>
      <w:r>
        <w:rPr>
          <w:rFonts w:ascii="Times New Roman" w:eastAsia="方正仿宋_GBK" w:cs="Times New Roman" w:hAnsi="Times New Roman"/>
          <w:spacing w:val="-6"/>
          <w:sz w:val="32"/>
          <w:szCs w:val="32"/>
        </w:rPr>
        <w:t>。</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视恐怖袭击事件的类型、严重程度和影响范围，可适当调整或增补成员单位。</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各隶属海关的本级应急指挥部及其成员单位构成可参照总关相关形式组建。</w:t>
      </w:r>
    </w:p>
    <w:p>
      <w:pPr>
        <w:pStyle w:val="25"/>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r>
        <w:rPr>
          <w:rFonts w:ascii="Times New Roman" w:eastAsia="方正楷体_GBK" w:cs="Times New Roman" w:hAnsi="Times New Roman"/>
          <w:bCs w:val="0"/>
          <w:spacing w:val="-6"/>
          <w:kern w:val="2"/>
          <w:sz w:val="32"/>
          <w:szCs w:val="32"/>
        </w:rPr>
        <w:t>2.4应急指挥部成员单位工作职责</w:t>
      </w:r>
    </w:p>
    <w:p>
      <w:pPr>
        <w:pStyle w:val="26"/>
        <w:spacing w:beforeLines="0" w:before="0" w:afterLines="0" w:after="0" w:line="560" w:lineRule="exact"/>
        <w:ind w:left="0" w:firstLineChars="150" w:firstLine="462"/>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（1）办公室：负责组织、指导恐怖袭击事件的新闻发布和舆情监测等，组织实施海关系统总体应急工作。</w:t>
      </w:r>
    </w:p>
    <w:p>
      <w:pPr>
        <w:pStyle w:val="26"/>
        <w:spacing w:beforeLines="0" w:before="0" w:afterLines="0" w:after="0" w:line="560" w:lineRule="exact"/>
        <w:ind w:left="0" w:firstLineChars="150" w:firstLine="462"/>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（2）法规处：负责恐怖袭击事件应急工作的法律支持。</w:t>
      </w:r>
    </w:p>
    <w:p>
      <w:pPr>
        <w:pStyle w:val="26"/>
        <w:spacing w:beforeLines="0" w:before="0" w:afterLines="0" w:after="0" w:line="560" w:lineRule="exact"/>
        <w:ind w:left="0" w:firstLineChars="150" w:firstLine="462"/>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（3）综合业务处：负责恐怖袭击事件发生后的通关管理工作。</w:t>
      </w:r>
    </w:p>
    <w:p>
      <w:pPr>
        <w:pStyle w:val="26"/>
        <w:spacing w:beforeLines="0" w:before="0" w:afterLines="0" w:after="0" w:line="560" w:lineRule="exact"/>
        <w:ind w:left="0" w:firstLineChars="150" w:firstLine="462"/>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（4）卫生检疫处：负责指导现场配合专业力量完成恐怖袭击事件相关检疫检测与检疫相关风险分析工作，及恐怖袭击事件引起的伤员救护、疫情防控与卫生处理工作。</w:t>
      </w:r>
    </w:p>
    <w:p>
      <w:pPr>
        <w:pStyle w:val="26"/>
        <w:spacing w:beforeLines="0" w:before="0" w:afterLines="0" w:after="0" w:line="560" w:lineRule="exact"/>
        <w:ind w:left="0" w:firstLineChars="150" w:firstLine="462"/>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（5）动植物检疫处：负责受恐怖袭击事件影响的出入境动植物及其产品相关信息收集、善后处置、调查评估。</w:t>
      </w:r>
    </w:p>
    <w:p>
      <w:pPr>
        <w:pStyle w:val="26"/>
        <w:spacing w:beforeLines="0" w:before="0" w:afterLines="0" w:after="0" w:line="560" w:lineRule="exact"/>
        <w:ind w:left="0" w:firstLineChars="150" w:firstLine="462"/>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（6）进出口食品安全处：负责受恐怖袭击事件影响的进出口食品相关信息收集、善后处置、调查评估。</w:t>
      </w:r>
    </w:p>
    <w:p>
      <w:pPr>
        <w:pStyle w:val="26"/>
        <w:spacing w:beforeLines="0" w:before="0" w:afterLines="0" w:after="0" w:line="560" w:lineRule="exact"/>
        <w:ind w:left="0" w:firstLineChars="150" w:firstLine="462"/>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（7）商品检验处：负责受恐怖袭击事件影响的进出口工业品，特别是危险化学品相关信息收集、善后处置、调查评估。</w:t>
      </w:r>
    </w:p>
    <w:p>
      <w:pPr>
        <w:pStyle w:val="26"/>
        <w:spacing w:beforeLines="0" w:before="0" w:afterLines="0" w:after="0" w:line="560" w:lineRule="exact"/>
        <w:ind w:left="0" w:firstLineChars="150" w:firstLine="462"/>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（8）口岸监管处：负责应急指挥部具体工作，组织开展恐怖袭击事件预警分析，传达应急指令，沟通协调系统内外相关部门，事后组织工作总结，发布情况通报，以及本预案的统筹管理和培训演练部署。</w:t>
      </w:r>
    </w:p>
    <w:p>
      <w:pPr>
        <w:pStyle w:val="26"/>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( 9 ) 行邮监管处：协助口岸监管处对行邮监管现场的恐怖袭击事件开展预警分析，应急指令传达。</w:t>
      </w:r>
    </w:p>
    <w:p>
      <w:pPr>
        <w:pStyle w:val="26"/>
        <w:spacing w:beforeLines="0" w:before="0" w:afterLines="0" w:after="0" w:line="560" w:lineRule="exact"/>
        <w:ind w:left="0" w:firstLineChars="150" w:firstLine="462"/>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（10）缉私局：负责协助有关部门开展恐怖袭击事件的侦查和调查工作等，配合实施现场管制措施。</w:t>
      </w:r>
    </w:p>
    <w:p>
      <w:pPr>
        <w:pStyle w:val="26"/>
        <w:spacing w:beforeLines="0" w:before="0" w:afterLines="0" w:after="0" w:line="560" w:lineRule="exact"/>
        <w:ind w:left="0" w:firstLineChars="150" w:firstLine="462"/>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（11）财务处：负责海关口岸监管环节反恐工作相关的检测、防护设备设施与应急物资的资金保障，以及培训、演练相关经费保障等工作。</w:t>
      </w:r>
    </w:p>
    <w:p>
      <w:pPr>
        <w:pStyle w:val="26"/>
        <w:spacing w:beforeLines="0" w:before="0" w:afterLines="0" w:after="0" w:line="560" w:lineRule="exact"/>
        <w:ind w:left="0" w:firstLineChars="150" w:firstLine="462"/>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（12）科技处：负责海关口岸监管环节反恐工作相关的网络、通信、通讯的保障等工作。</w:t>
      </w:r>
    </w:p>
    <w:p>
      <w:pPr>
        <w:pStyle w:val="26"/>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（13）人事处：负责恐怖袭击事件应急工作人员的调配和奖惩工作。</w:t>
      </w:r>
    </w:p>
    <w:p>
      <w:pPr>
        <w:pStyle w:val="26"/>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（14）教育处：负责恐怖袭击事件应急工作人员的培训支持工作。</w:t>
      </w:r>
    </w:p>
    <w:p>
      <w:pPr>
        <w:pStyle w:val="26"/>
        <w:spacing w:beforeLines="0" w:before="0" w:afterLines="0" w:after="0" w:line="560" w:lineRule="exact"/>
        <w:ind w:left="0" w:firstLineChars="200" w:firstLine="616"/>
        <w:rPr>
          <w:rFonts w:ascii="Times New Roman" w:eastAsia="方正仿宋_GBK" w:cs="Times New Roman" w:hAnsi="Times New Roman"/>
          <w:spacing w:val="-6"/>
          <w:sz w:val="32"/>
          <w:szCs w:val="32"/>
        </w:rPr>
      </w:pPr>
      <w:r>
        <w:rPr>
          <w:rStyle w:val="63Char"/>
          <w:rFonts w:eastAsia="方正仿宋_GBK"/>
          <w:spacing w:val="-6"/>
          <w:szCs w:val="32"/>
          <w:bdr w:val="none" w:sz="0" w:space="0" w:color="auto"/>
        </w:rPr>
        <w:t>（15）</w:t>
      </w:r>
      <w:r>
        <w:rPr>
          <w:rFonts w:ascii="Times New Roman" w:eastAsia="方正仿宋_GBK" w:cs="Times New Roman" w:hAnsi="Times New Roman"/>
          <w:spacing w:val="-6"/>
          <w:sz w:val="32"/>
          <w:szCs w:val="32"/>
        </w:rPr>
        <w:t>后勤管理中心：负责恐怖袭击事件应急处置的后勤保障工作。</w:t>
      </w:r>
    </w:p>
    <w:p>
      <w:pPr>
        <w:pStyle w:val="56"/>
        <w:spacing w:line="560" w:lineRule="exact"/>
        <w:ind w:left="0" w:firstLineChars="200" w:firstLine="616"/>
        <w:rPr>
          <w:rFonts w:ascii="Times New Roman" w:eastAsia="方正仿宋_GBK" w:hAnsi="Times New Roman" w:hint="eastAsia"/>
          <w:sz w:val="32"/>
          <w:szCs w:val="32"/>
          <w:bdr w:val="none" w:sz="0" w:space="0" w:color="auto"/>
        </w:rPr>
      </w:pPr>
      <w:r>
        <w:rPr>
          <w:rFonts w:ascii="Times New Roman" w:eastAsia="方正仿宋_GBK" w:cs="Times New Roman" w:hAnsi="Times New Roman"/>
          <w:spacing w:val="-6"/>
          <w:sz w:val="32"/>
          <w:szCs w:val="32"/>
        </w:rPr>
        <w:t>（16）</w:t>
      </w:r>
      <w:r>
        <w:rPr>
          <w:rStyle w:val="57Char"/>
          <w:rFonts w:eastAsia="方正仿宋_GBK" w:hint="eastAsia"/>
          <w:sz w:val="32"/>
          <w:szCs w:val="32"/>
          <w:bdr w:val="none" w:sz="0" w:space="0" w:color="auto"/>
        </w:rPr>
        <w:t>业务运行监控指挥中心：负责</w:t>
      </w:r>
      <w:r>
        <w:rPr>
          <w:rFonts w:ascii="Times New Roman" w:eastAsia="方正仿宋_GBK" w:hAnsi="Times New Roman" w:hint="eastAsia"/>
          <w:sz w:val="32"/>
          <w:szCs w:val="32"/>
          <w:bdr w:val="none" w:sz="0" w:space="0" w:color="auto"/>
        </w:rPr>
        <w:t>利用视频监控系统等手段协助处置</w:t>
      </w:r>
      <w:r>
        <w:rPr>
          <w:rFonts w:ascii="Times New Roman" w:eastAsia="方正仿宋_GBK" w:hAnsi="Times New Roman"/>
          <w:sz w:val="32"/>
          <w:szCs w:val="32"/>
          <w:bdr w:val="none" w:sz="0" w:space="0" w:color="auto"/>
        </w:rPr>
        <w:t>恐怖袭击</w:t>
      </w:r>
      <w:r>
        <w:rPr>
          <w:rFonts w:ascii="Times New Roman" w:eastAsia="方正仿宋_GBK" w:hAnsi="Times New Roman" w:hint="eastAsia"/>
          <w:sz w:val="32"/>
          <w:szCs w:val="32"/>
          <w:bdr w:val="none" w:sz="0" w:space="0" w:color="auto"/>
        </w:rPr>
        <w:t>突发事件。</w:t>
      </w:r>
    </w:p>
    <w:p>
      <w:pPr>
        <w:pStyle w:val="66"/>
        <w:spacing w:line="560" w:lineRule="exact"/>
        <w:ind w:firstLine="629"/>
        <w:rPr>
          <w:rFonts w:eastAsia="方正仿宋_GBK" w:hint="eastAsia"/>
          <w:szCs w:val="32"/>
        </w:rPr>
      </w:pPr>
      <w:r>
        <w:rPr>
          <w:rFonts w:eastAsia="方正仿宋_GBK" w:cs="Times New Roman"/>
          <w:spacing w:val="-6"/>
          <w:sz w:val="32"/>
          <w:szCs w:val="32"/>
        </w:rPr>
        <w:t>（17）风险防控分局：</w:t>
      </w:r>
      <w:r>
        <w:rPr>
          <w:rFonts w:eastAsia="方正仿宋_GBK" w:hint="eastAsia"/>
          <w:szCs w:val="32"/>
        </w:rPr>
        <w:t>负责通过内部信息渠道收集关区安全准入风险相关信息、风险分析、研判和布控工作。</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44" w:name="_Toc15941419"/>
      <w:bookmarkStart w:id="45" w:name="_Toc15960"/>
      <w:bookmarkStart w:id="46" w:name="_Toc5781"/>
      <w:bookmarkStart w:id="47" w:name="_Toc15941192"/>
      <w:bookmarkStart w:id="48" w:name="_Toc15941249"/>
      <w:r>
        <w:rPr>
          <w:rFonts w:ascii="Times New Roman" w:eastAsia="方正楷体_GBK" w:cs="Times New Roman" w:hAnsi="Times New Roman"/>
          <w:bCs w:val="0"/>
          <w:spacing w:val="-6"/>
          <w:kern w:val="2"/>
          <w:sz w:val="32"/>
          <w:szCs w:val="32"/>
        </w:rPr>
        <w:t>指挥部工作组</w:t>
      </w:r>
      <w:bookmarkEnd w:id="44"/>
      <w:bookmarkEnd w:id="45"/>
      <w:bookmarkEnd w:id="46"/>
      <w:bookmarkEnd w:id="47"/>
      <w:bookmarkEnd w:id="48"/>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根据事件需要，设立综合协调、情报信息、善后处置、信息发布及新闻宣传、调查评估、基础设施保障和生产恢复、专家支持等工作组。</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49" w:name="_Toc15941420"/>
      <w:bookmarkStart w:id="50" w:name="_Toc8583"/>
      <w:bookmarkStart w:id="51" w:name="_Toc31053"/>
      <w:bookmarkStart w:id="52" w:name="_Toc15941193"/>
      <w:bookmarkStart w:id="53" w:name="_Toc15941250"/>
      <w:r>
        <w:rPr>
          <w:rFonts w:ascii="Times New Roman" w:eastAsia="方正楷体_GBK" w:cs="Times New Roman" w:hAnsi="Times New Roman"/>
          <w:bCs w:val="0"/>
          <w:spacing w:val="-6"/>
          <w:kern w:val="2"/>
          <w:sz w:val="32"/>
          <w:szCs w:val="32"/>
        </w:rPr>
        <w:t>2.6专家组</w:t>
      </w:r>
      <w:bookmarkEnd w:id="49"/>
      <w:bookmarkEnd w:id="50"/>
      <w:bookmarkEnd w:id="51"/>
      <w:bookmarkEnd w:id="52"/>
      <w:bookmarkEnd w:id="53"/>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昆明海关和隶属海关均应组建口岸监管环节反恐专家组（以下简称</w:t>
      </w:r>
      <w:r>
        <w:rPr>
          <w:rFonts w:ascii="Times New Roman" w:eastAsia="方正仿宋_GBK" w:cs="Times New Roman" w:hAnsi="Times New Roman" w:hint="eastAsia"/>
          <w:spacing w:val="-6"/>
          <w:sz w:val="32"/>
          <w:szCs w:val="32"/>
        </w:rPr>
        <w:t>“</w:t>
      </w:r>
      <w:r>
        <w:rPr>
          <w:rFonts w:ascii="Times New Roman" w:eastAsia="方正仿宋_GBK" w:cs="Times New Roman" w:hAnsi="Times New Roman"/>
          <w:spacing w:val="-6"/>
          <w:sz w:val="32"/>
          <w:szCs w:val="32"/>
        </w:rPr>
        <w:t>专家组</w:t>
      </w:r>
      <w:r>
        <w:rPr>
          <w:rFonts w:ascii="Times New Roman" w:eastAsia="方正仿宋_GBK" w:cs="Times New Roman" w:hAnsi="Times New Roman" w:hint="eastAsia"/>
          <w:spacing w:val="-6"/>
          <w:sz w:val="32"/>
          <w:szCs w:val="32"/>
        </w:rPr>
        <w:t>”</w:t>
      </w:r>
      <w:r>
        <w:rPr>
          <w:rFonts w:ascii="Times New Roman" w:eastAsia="方正仿宋_GBK" w:cs="Times New Roman" w:hAnsi="Times New Roman"/>
          <w:spacing w:val="-6"/>
          <w:sz w:val="32"/>
          <w:szCs w:val="32"/>
        </w:rPr>
        <w:t>），专家组原则上应包括海关系统内外应对恐怖袭击事件专家。</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专家组职责是参与制定修订海关相关应急预案、规章制度、应急行动方案；为口岸监管环节恐怖袭击事件的发展趋势及危害程度进行预测和评估；对应急队伍进行技术指导和培训；必要时参与恐怖袭击事件应对，重点为应急处置和救援、调查评估等工作提供技术支持。</w:t>
      </w:r>
      <w:bookmarkStart w:id="54" w:name="sub2507959_2_2"/>
      <w:bookmarkStart w:id="55" w:name="2_2"/>
      <w:bookmarkStart w:id="56" w:name="_Toc8279"/>
      <w:bookmarkStart w:id="57" w:name="_Toc14507"/>
      <w:bookmarkStart w:id="58" w:name="_Toc15941194"/>
      <w:bookmarkStart w:id="59" w:name="_Toc15941251"/>
      <w:bookmarkStart w:id="60" w:name="_Toc15941421"/>
      <w:bookmarkStart w:id="61" w:name="2-2"/>
      <w:bookmarkStart w:id="62" w:name="运行机制"/>
      <w:bookmarkEnd w:id="54"/>
      <w:bookmarkEnd w:id="55"/>
      <w:bookmarkEnd w:id="61"/>
      <w:bookmarkEnd w:id="62"/>
    </w:p>
    <w:p>
      <w:pPr>
        <w:pStyle w:val="23"/>
        <w:spacing w:beforeLines="0" w:before="0" w:afterLines="0" w:after="0" w:line="560" w:lineRule="exact"/>
        <w:ind w:firstLineChars="200" w:firstLine="616"/>
        <w:rPr>
          <w:rFonts w:ascii="Times New Roman" w:eastAsia="方正黑体_GBK" w:hAnsi="Times New Roman"/>
          <w:b w:val="0"/>
          <w:spacing w:val="-6"/>
          <w:sz w:val="32"/>
          <w:szCs w:val="32"/>
        </w:rPr>
      </w:pPr>
      <w:r>
        <w:rPr>
          <w:rFonts w:ascii="Times New Roman" w:eastAsia="方正黑体_GBK" w:hAnsi="Times New Roman"/>
          <w:b w:val="0"/>
          <w:spacing w:val="-6"/>
          <w:sz w:val="32"/>
          <w:szCs w:val="32"/>
        </w:rPr>
        <w:t>3运行机制</w:t>
      </w:r>
      <w:bookmarkStart w:id="63" w:name="_Toc15941422"/>
      <w:bookmarkStart w:id="64" w:name="_Toc26302"/>
      <w:bookmarkStart w:id="65" w:name="_Toc19013"/>
      <w:bookmarkStart w:id="66" w:name="_Toc15941195"/>
      <w:bookmarkStart w:id="67" w:name="_Toc15941252"/>
      <w:bookmarkEnd w:id="56"/>
      <w:bookmarkEnd w:id="57"/>
      <w:bookmarkEnd w:id="58"/>
      <w:bookmarkEnd w:id="59"/>
      <w:bookmarkEnd w:id="60"/>
    </w:p>
    <w:p>
      <w:pPr>
        <w:pStyle w:val="23"/>
        <w:spacing w:beforeLines="0" w:before="0" w:afterLines="0" w:after="0" w:line="560" w:lineRule="exact"/>
        <w:ind w:firstLineChars="200" w:firstLine="616"/>
        <w:rPr>
          <w:rFonts w:ascii="Times New Roman" w:eastAsia="方正楷体_GBK" w:cs="Times New Roman" w:hAnsi="Times New Roman"/>
          <w:bCs w:val="0"/>
          <w:spacing w:val="-6"/>
          <w:kern w:val="2"/>
          <w:sz w:val="32"/>
          <w:szCs w:val="32"/>
        </w:rPr>
      </w:pPr>
      <w:r>
        <w:rPr>
          <w:rFonts w:ascii="Times New Roman" w:eastAsia="方正楷体_GBK" w:cs="Times New Roman" w:hAnsi="Times New Roman"/>
          <w:bCs w:val="0"/>
          <w:spacing w:val="-6"/>
          <w:kern w:val="2"/>
          <w:sz w:val="32"/>
          <w:szCs w:val="32"/>
        </w:rPr>
        <w:t>3.1预警</w:t>
      </w:r>
      <w:bookmarkEnd w:id="63"/>
      <w:bookmarkEnd w:id="64"/>
      <w:bookmarkEnd w:id="65"/>
      <w:bookmarkEnd w:id="66"/>
      <w:bookmarkEnd w:id="67"/>
    </w:p>
    <w:p>
      <w:pPr>
        <w:pStyle w:val="22"/>
        <w:keepNext/>
        <w:keepLines/>
        <w:widowControl w:val="0"/>
        <w:spacing w:before="0" w:beforeAutospacing="0" w:after="0" w:afterAutospacing="0" w:line="560" w:lineRule="exact"/>
        <w:ind w:firstLineChars="200" w:firstLine="616"/>
        <w:jc w:val="both"/>
        <w:outlineLvl w:val="9"/>
        <w:rPr>
          <w:rFonts w:ascii="Times New Roman" w:eastAsia="方正仿宋_GBK" w:cs="Times New Roman" w:hAnsi="Times New Roman"/>
          <w:bCs w:val="0"/>
          <w:spacing w:val="-6"/>
          <w:kern w:val="2"/>
          <w:sz w:val="32"/>
          <w:szCs w:val="32"/>
        </w:rPr>
      </w:pPr>
      <w:bookmarkStart w:id="68" w:name="_Toc15941423"/>
      <w:bookmarkStart w:id="69" w:name="_Toc22327"/>
      <w:bookmarkStart w:id="70" w:name="_Toc17279"/>
      <w:bookmarkStart w:id="71" w:name="_Toc15941196"/>
      <w:bookmarkStart w:id="72" w:name="_Toc15941253"/>
      <w:r>
        <w:rPr>
          <w:rFonts w:ascii="Times New Roman" w:eastAsia="方正仿宋_GBK" w:cs="Times New Roman" w:hAnsi="Times New Roman"/>
          <w:bCs w:val="0"/>
          <w:spacing w:val="-6"/>
          <w:kern w:val="2"/>
          <w:sz w:val="32"/>
          <w:szCs w:val="32"/>
        </w:rPr>
        <w:t>3.1.1预警来源</w:t>
      </w:r>
      <w:bookmarkEnd w:id="68"/>
      <w:bookmarkEnd w:id="69"/>
      <w:bookmarkEnd w:id="70"/>
      <w:bookmarkEnd w:id="71"/>
      <w:bookmarkEnd w:id="72"/>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昆明海关及各隶属海关要针对各种可能发生的恐怖袭击事件，组织开展预警工作，密切关注国内外特别是属地涉恐事件的信息和动态，跟踪和掌握恐怖袭击事件发展动向。预警信息来源主要包括：</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（l）地方政府、公安、安全等相关部门发布或向海关通报的涉恐信息、情报</w:t>
      </w:r>
      <w:r>
        <w:rPr>
          <w:rFonts w:ascii="Times New Roman" w:eastAsia="方正仿宋_GBK" w:cs="Times New Roman" w:hAnsi="Times New Roman" w:hint="eastAsia"/>
          <w:spacing w:val="-6"/>
          <w:sz w:val="32"/>
          <w:szCs w:val="32"/>
        </w:rPr>
        <w:t>；</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（2）海关有关部门收集的相关涉恐信息、情报</w:t>
      </w:r>
      <w:r>
        <w:rPr>
          <w:rFonts w:ascii="Times New Roman" w:eastAsia="方正仿宋_GBK" w:cs="Times New Roman" w:hAnsi="Times New Roman" w:hint="eastAsia"/>
          <w:spacing w:val="-6"/>
          <w:sz w:val="32"/>
          <w:szCs w:val="32"/>
        </w:rPr>
        <w:t>；</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（3）社会公众发现并向海关报告的相关涉恐信息、情报</w:t>
      </w:r>
      <w:r>
        <w:rPr>
          <w:rFonts w:ascii="Times New Roman" w:eastAsia="方正仿宋_GBK" w:cs="Times New Roman" w:hAnsi="Times New Roman" w:hint="eastAsia"/>
          <w:spacing w:val="-6"/>
          <w:sz w:val="32"/>
          <w:szCs w:val="32"/>
        </w:rPr>
        <w:t>；</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（4）其他渠道获取的相关涉恐信息、情报。</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仿宋_GBK" w:cs="Times New Roman" w:hAnsi="Times New Roman"/>
          <w:bCs w:val="0"/>
          <w:spacing w:val="-6"/>
          <w:kern w:val="2"/>
          <w:sz w:val="32"/>
          <w:szCs w:val="32"/>
        </w:rPr>
      </w:pPr>
      <w:bookmarkStart w:id="73" w:name="_Toc15941424"/>
      <w:bookmarkStart w:id="74" w:name="_Toc22059"/>
      <w:bookmarkStart w:id="75" w:name="_Toc16623"/>
      <w:bookmarkStart w:id="76" w:name="_Toc15941197"/>
      <w:bookmarkStart w:id="77" w:name="_Toc15941254"/>
      <w:r>
        <w:rPr>
          <w:rFonts w:ascii="Times New Roman" w:eastAsia="方正仿宋_GBK" w:cs="Times New Roman" w:hAnsi="Times New Roman"/>
          <w:bCs w:val="0"/>
          <w:spacing w:val="-6"/>
          <w:kern w:val="2"/>
          <w:sz w:val="32"/>
          <w:szCs w:val="32"/>
        </w:rPr>
        <w:t>3.1.2预警分析</w:t>
      </w:r>
      <w:bookmarkEnd w:id="73"/>
      <w:bookmarkEnd w:id="74"/>
      <w:bookmarkEnd w:id="75"/>
      <w:bookmarkEnd w:id="76"/>
      <w:bookmarkEnd w:id="77"/>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及各隶属海关应核实上述预警信息，及时组织有关部门及专家组开展会商研判和风险评估，预估可能的影响范围和危害程度，提出预警工作建议，提供决策支持。对于发现的相关重点情况（《核生化重点排查事项表》见附件1），应进行核与辐射、生物、化学类涉恐排查工作。</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仿宋_GBK" w:cs="Times New Roman" w:hAnsi="Times New Roman"/>
          <w:bCs w:val="0"/>
          <w:spacing w:val="-6"/>
          <w:kern w:val="2"/>
          <w:sz w:val="32"/>
          <w:szCs w:val="32"/>
        </w:rPr>
      </w:pPr>
      <w:bookmarkStart w:id="78" w:name="_Toc15941425"/>
      <w:bookmarkStart w:id="79" w:name="_Toc21985"/>
      <w:bookmarkStart w:id="80" w:name="_Toc10995"/>
      <w:bookmarkStart w:id="81" w:name="_Toc15941198"/>
      <w:bookmarkStart w:id="82" w:name="_Toc15941255"/>
      <w:r>
        <w:rPr>
          <w:rFonts w:ascii="Times New Roman" w:eastAsia="方正仿宋_GBK" w:cs="Times New Roman" w:hAnsi="Times New Roman"/>
          <w:bCs w:val="0"/>
          <w:spacing w:val="-6"/>
          <w:kern w:val="2"/>
          <w:sz w:val="32"/>
          <w:szCs w:val="32"/>
        </w:rPr>
        <w:t>3.1.3预警发布</w:t>
      </w:r>
      <w:bookmarkEnd w:id="78"/>
      <w:bookmarkEnd w:id="79"/>
      <w:bookmarkEnd w:id="80"/>
      <w:bookmarkEnd w:id="81"/>
      <w:bookmarkEnd w:id="82"/>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昆明海关及各隶属海关要根据预警分析工作建议，按照有关规定适时发布预警。预警内容应当包括初步判断的事件类别、起始时间、影响范围、可能造成的影响或危害、警示事项、应采取的工作措施等。</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仿宋_GBK" w:cs="Times New Roman" w:hAnsi="Times New Roman"/>
          <w:bCs w:val="0"/>
          <w:spacing w:val="-6"/>
          <w:kern w:val="2"/>
          <w:sz w:val="32"/>
          <w:szCs w:val="32"/>
        </w:rPr>
      </w:pPr>
      <w:bookmarkStart w:id="83" w:name="_Toc15941426"/>
      <w:bookmarkStart w:id="84" w:name="_Toc22524"/>
      <w:bookmarkStart w:id="85" w:name="_Toc27677"/>
      <w:bookmarkStart w:id="86" w:name="_Toc15941199"/>
      <w:bookmarkStart w:id="87" w:name="_Toc15941256"/>
      <w:r>
        <w:rPr>
          <w:rFonts w:ascii="Times New Roman" w:eastAsia="方正仿宋_GBK" w:cs="Times New Roman" w:hAnsi="Times New Roman"/>
          <w:bCs w:val="0"/>
          <w:spacing w:val="-6"/>
          <w:kern w:val="2"/>
          <w:sz w:val="32"/>
          <w:szCs w:val="32"/>
        </w:rPr>
        <w:t>3.1.4预警响应</w:t>
      </w:r>
      <w:bookmarkEnd w:id="83"/>
      <w:bookmarkEnd w:id="84"/>
      <w:bookmarkEnd w:id="85"/>
      <w:bookmarkEnd w:id="86"/>
      <w:bookmarkEnd w:id="87"/>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接到预警后，昆明海关及各隶属海关相关部门应立即做出响应，本级应急指挥部进入应急工作状态，履行工作职责。</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仿宋_GBK" w:cs="Times New Roman" w:hAnsi="Times New Roman"/>
          <w:bCs w:val="0"/>
          <w:spacing w:val="-6"/>
          <w:kern w:val="2"/>
          <w:sz w:val="32"/>
          <w:szCs w:val="32"/>
        </w:rPr>
      </w:pPr>
      <w:bookmarkStart w:id="88" w:name="_Toc15941427"/>
      <w:bookmarkStart w:id="89" w:name="_Toc10533"/>
      <w:bookmarkStart w:id="90" w:name="_Toc30834"/>
      <w:bookmarkStart w:id="91" w:name="_Toc15941200"/>
      <w:bookmarkStart w:id="92" w:name="_Toc15941257"/>
      <w:r>
        <w:rPr>
          <w:rFonts w:ascii="Times New Roman" w:eastAsia="方正仿宋_GBK" w:cs="Times New Roman" w:hAnsi="Times New Roman"/>
          <w:bCs w:val="0"/>
          <w:spacing w:val="-6"/>
          <w:kern w:val="2"/>
          <w:sz w:val="32"/>
          <w:szCs w:val="32"/>
        </w:rPr>
        <w:t>3.1.5预警解除</w:t>
      </w:r>
      <w:bookmarkEnd w:id="88"/>
      <w:bookmarkEnd w:id="89"/>
      <w:bookmarkEnd w:id="90"/>
      <w:bookmarkEnd w:id="91"/>
      <w:bookmarkEnd w:id="92"/>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当恐怖袭击事件风险已经解除，发布预警的海关要立即宣布解除预警，解除已经采取的有关措施。</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93" w:name="_Toc15941428"/>
      <w:bookmarkStart w:id="94" w:name="_Toc23982"/>
      <w:bookmarkStart w:id="95" w:name="_Toc15275"/>
      <w:bookmarkStart w:id="96" w:name="_Toc15941201"/>
      <w:bookmarkStart w:id="97" w:name="_Toc15941258"/>
      <w:r>
        <w:rPr>
          <w:rFonts w:ascii="Times New Roman" w:eastAsia="方正楷体_GBK" w:cs="Times New Roman" w:hAnsi="Times New Roman"/>
          <w:bCs w:val="0"/>
          <w:spacing w:val="-6"/>
          <w:kern w:val="2"/>
          <w:sz w:val="32"/>
          <w:szCs w:val="32"/>
        </w:rPr>
        <w:t>3.2应急处置与救援</w:t>
      </w:r>
      <w:bookmarkEnd w:id="93"/>
      <w:bookmarkEnd w:id="94"/>
      <w:bookmarkEnd w:id="95"/>
      <w:bookmarkEnd w:id="96"/>
      <w:bookmarkEnd w:id="97"/>
    </w:p>
    <w:p>
      <w:pPr>
        <w:pStyle w:val="22"/>
        <w:keepNext/>
        <w:keepLines/>
        <w:widowControl w:val="0"/>
        <w:spacing w:before="0" w:beforeAutospacing="0" w:after="0" w:afterAutospacing="0" w:line="560" w:lineRule="exact"/>
        <w:ind w:firstLineChars="200" w:firstLine="616"/>
        <w:jc w:val="both"/>
        <w:outlineLvl w:val="9"/>
        <w:rPr>
          <w:rFonts w:ascii="Times New Roman" w:eastAsia="方正仿宋_GBK" w:cs="Times New Roman" w:hAnsi="Times New Roman"/>
          <w:bCs w:val="0"/>
          <w:spacing w:val="-6"/>
          <w:kern w:val="2"/>
          <w:sz w:val="32"/>
          <w:szCs w:val="32"/>
        </w:rPr>
      </w:pPr>
      <w:bookmarkStart w:id="98" w:name="_Toc15941429"/>
      <w:bookmarkStart w:id="99" w:name="_Toc31923"/>
      <w:bookmarkStart w:id="100" w:name="_Toc29251"/>
      <w:bookmarkStart w:id="101" w:name="_Toc15941202"/>
      <w:bookmarkStart w:id="102" w:name="_Toc15941259"/>
      <w:r>
        <w:rPr>
          <w:rFonts w:ascii="Times New Roman" w:eastAsia="方正仿宋_GBK" w:cs="Times New Roman" w:hAnsi="Times New Roman"/>
          <w:bCs w:val="0"/>
          <w:spacing w:val="-6"/>
          <w:kern w:val="2"/>
          <w:sz w:val="32"/>
          <w:szCs w:val="32"/>
        </w:rPr>
        <w:t>3.2.1信息报告</w:t>
      </w:r>
      <w:bookmarkEnd w:id="98"/>
      <w:bookmarkEnd w:id="99"/>
      <w:bookmarkEnd w:id="100"/>
      <w:bookmarkEnd w:id="101"/>
      <w:bookmarkEnd w:id="102"/>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方正仿宋_GBK" w:hAnsi="Times New Roman" w:hint="eastAsia"/>
          <w:spacing w:val="-6"/>
          <w:sz w:val="32"/>
          <w:szCs w:val="32"/>
        </w:rPr>
        <w:t>恐怖袭击事件应第一时间电话报告</w:t>
      </w:r>
      <w:r>
        <w:rPr>
          <w:rFonts w:ascii="Times New Roman" w:eastAsia="方正仿宋_GBK" w:cs="方正仿宋_GBK" w:hAnsi="Times New Roman"/>
          <w:spacing w:val="-6"/>
          <w:sz w:val="32"/>
          <w:szCs w:val="32"/>
        </w:rPr>
        <w:t>昆明海关</w:t>
      </w:r>
      <w:r>
        <w:rPr>
          <w:rFonts w:ascii="Times New Roman" w:eastAsia="方正仿宋_GBK" w:cs="方正仿宋_GBK" w:hAnsi="Times New Roman" w:hint="eastAsia"/>
          <w:spacing w:val="-6"/>
          <w:sz w:val="32"/>
          <w:szCs w:val="32"/>
        </w:rPr>
        <w:t>总值班室，并作出书面报告，信息报告原则、形式和内容等按《</w:t>
      </w:r>
      <w:r>
        <w:rPr>
          <w:rFonts w:ascii="Times New Roman" w:eastAsia="方正仿宋_GBK" w:cs="方正仿宋_GBK" w:hAnsi="Times New Roman"/>
          <w:spacing w:val="-6"/>
          <w:sz w:val="32"/>
          <w:szCs w:val="32"/>
        </w:rPr>
        <w:t>昆明</w:t>
      </w:r>
      <w:r>
        <w:rPr>
          <w:rFonts w:ascii="Times New Roman" w:eastAsia="方正仿宋_GBK" w:cs="方正仿宋_GBK" w:hAnsi="Times New Roman" w:hint="eastAsia"/>
          <w:spacing w:val="-6"/>
          <w:sz w:val="32"/>
          <w:szCs w:val="32"/>
        </w:rPr>
        <w:t>海关突发事件应急预案》的相关规定处理。同时</w:t>
      </w:r>
      <w:r>
        <w:rPr>
          <w:rFonts w:ascii="Times New Roman" w:eastAsia="方正仿宋_GBK" w:cs="Times New Roman" w:hAnsi="Times New Roman"/>
          <w:spacing w:val="-6"/>
          <w:sz w:val="32"/>
          <w:szCs w:val="32"/>
        </w:rPr>
        <w:t>，事发地海关应</w:t>
      </w:r>
      <w:r>
        <w:rPr>
          <w:rFonts w:ascii="Times New Roman" w:eastAsia="方正仿宋_GBK" w:cs="方正仿宋_GBK" w:hAnsi="Times New Roman" w:hint="eastAsia"/>
          <w:spacing w:val="-6"/>
          <w:sz w:val="32"/>
          <w:szCs w:val="32"/>
        </w:rPr>
        <w:t>第一时间通报当地政府、</w:t>
      </w:r>
      <w:r>
        <w:rPr>
          <w:rFonts w:ascii="Times New Roman" w:eastAsia="方正仿宋_GBK" w:cs="Times New Roman" w:hAnsi="Times New Roman"/>
          <w:spacing w:val="-6"/>
          <w:sz w:val="32"/>
          <w:szCs w:val="32"/>
        </w:rPr>
        <w:t>公安、安全等相关部门，联系专业力量进行处置（《恐怖袭击事件处置专业力量对应表》见附件2）。</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恐怖袭击事件发生后，事发地海关在向上一级海关报告恐怖</w:t>
      </w:r>
      <w:r>
        <w:rPr>
          <w:rFonts w:ascii="Times New Roman" w:eastAsia="方正仿宋_GBK" w:cs="方正仿宋_GBK" w:hAnsi="Times New Roman" w:hint="eastAsia"/>
          <w:spacing w:val="-6"/>
          <w:sz w:val="32"/>
          <w:szCs w:val="32"/>
        </w:rPr>
        <w:t>袭击事件的同时，由本级应急指挥部启动应急预案。</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仿宋_GBK" w:cs="Times New Roman" w:hAnsi="Times New Roman"/>
          <w:bCs w:val="0"/>
          <w:spacing w:val="-6"/>
          <w:kern w:val="2"/>
          <w:sz w:val="32"/>
          <w:szCs w:val="32"/>
        </w:rPr>
      </w:pPr>
      <w:bookmarkStart w:id="103" w:name="_Toc15941430"/>
      <w:bookmarkStart w:id="104" w:name="_Toc2996"/>
      <w:bookmarkStart w:id="105" w:name="_Toc25313"/>
      <w:bookmarkStart w:id="106" w:name="_Toc15941203"/>
      <w:bookmarkStart w:id="107" w:name="_Toc15941260"/>
      <w:r>
        <w:rPr>
          <w:rFonts w:ascii="Times New Roman" w:eastAsia="方正仿宋_GBK" w:cs="Times New Roman" w:hAnsi="Times New Roman"/>
          <w:bCs w:val="0"/>
          <w:spacing w:val="-6"/>
          <w:kern w:val="2"/>
          <w:sz w:val="32"/>
          <w:szCs w:val="32"/>
        </w:rPr>
        <w:t>3.2.2先期处置</w:t>
      </w:r>
      <w:bookmarkEnd w:id="103"/>
      <w:bookmarkEnd w:id="104"/>
      <w:bookmarkEnd w:id="105"/>
      <w:bookmarkEnd w:id="106"/>
      <w:bookmarkEnd w:id="107"/>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在专业力量开展处置前，为防止事态进一步扩大，事发地海关应急指挥部应根据恐怖袭击事件的类别，组织海关现场关员在做好个人防护，确保人身安全的基础上，视情采取如下先期紧急措施：</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（1）发生核与辐射类恐怖袭击事件，海关关员应穿戴核辐射防护服，佩带个人辐射计量仪，携带辐射探测设备，了解事件基本情况，初步评估现场辐射水平</w:t>
      </w:r>
      <w:r>
        <w:rPr>
          <w:rFonts w:ascii="Times New Roman" w:eastAsia="方正仿宋_GBK" w:cs="Times New Roman" w:hAnsi="Times New Roman" w:hint="eastAsia"/>
          <w:spacing w:val="-6"/>
          <w:sz w:val="32"/>
          <w:szCs w:val="32"/>
        </w:rPr>
        <w:t>；</w:t>
      </w:r>
      <w:r>
        <w:rPr>
          <w:rFonts w:ascii="Times New Roman" w:eastAsia="方正仿宋_GBK" w:cs="Times New Roman" w:hAnsi="Times New Roman"/>
          <w:spacing w:val="-6"/>
          <w:sz w:val="32"/>
          <w:szCs w:val="32"/>
        </w:rPr>
        <w:t>维持现场秩序，及时疏散人群远离可疑放射性污染区域，妥善安置疑似受照受染人员；控制隔离并封锁相关区域，防止无关人员、车辆进入。</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2）发生生物类恐怖袭击事件，海关关员应穿戴生物防护服，携带现场生物有害因子检测设备，了解事件基本情况，初步评估危害程度；维持现场秩序，及时疏散人群，妥善安置疑似受染人员并做好隔离留验工作；协调现场关闭空调、通风、污水排放系统及设施，控制隔离并封锁相关区域，防止无关人员、车辆进入。</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3）发生化学类恐怖袭击事件，海关关员应穿戴化学防护服，携带现场化学有害因子检测设备，了解事件基本情况，初步评估危害程度；维持现场秩序，及时疏散人群向上风向转移，远离污染区域，将中毒伤员及时送医治疗；协调现场关闭空调、通风、污水排放系统及设施，控制隔离并封锁相关区域，防止无关人员、车辆进入。</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（4）发生砍杀冲撞类恐怖袭击事件，为防止事态蔓延，海关关员应充分利用现场反恐防暴、消防等设备设施开展人员互助与自救，组织力量抢救伤员送医，及时疏散人群，有序撤离，协助维护现场秩序。</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（5）发生劫持类恐怖袭击事件，海关关员应视情利用现场反恐防暴设备设施开展人员互助与自救，及时疏散无关人员，尽量控制局面，控制封锁相关区域，防止无关人员、车辆进入。</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在做好上述措施的基础上，事发地海关应急指挥部还应组织设置快速反应通道，保障后续专业力量处置队伍、车辆、设备、物资等顺利进出事发现场，保持与专业力量的联络并等待救援与处置。</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仿宋_GBK" w:cs="Times New Roman" w:hAnsi="Times New Roman"/>
          <w:bCs w:val="0"/>
          <w:spacing w:val="-6"/>
          <w:kern w:val="2"/>
          <w:sz w:val="32"/>
          <w:szCs w:val="32"/>
        </w:rPr>
      </w:pPr>
      <w:bookmarkStart w:id="108" w:name="_Toc15941431"/>
      <w:bookmarkStart w:id="109" w:name="_Toc29871"/>
      <w:bookmarkStart w:id="110" w:name="_Toc21575"/>
      <w:bookmarkStart w:id="111" w:name="_Toc15941204"/>
      <w:bookmarkStart w:id="112" w:name="_Toc15941261"/>
      <w:r>
        <w:rPr>
          <w:rFonts w:ascii="Times New Roman" w:eastAsia="方正仿宋_GBK" w:cs="Times New Roman" w:hAnsi="Times New Roman"/>
          <w:bCs w:val="0"/>
          <w:spacing w:val="-6"/>
          <w:kern w:val="2"/>
          <w:sz w:val="32"/>
          <w:szCs w:val="32"/>
        </w:rPr>
        <w:t>3.2.3指挥协调</w:t>
      </w:r>
      <w:bookmarkEnd w:id="108"/>
      <w:bookmarkEnd w:id="109"/>
      <w:bookmarkEnd w:id="110"/>
      <w:bookmarkEnd w:id="111"/>
      <w:bookmarkEnd w:id="112"/>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海关应对恐怖袭击事件要坚持专业力量处置。专业力量到达事发现场后，事发地海关应急指挥部应向专业力量通报现场情况，并组织海关关员服从专业力量指挥，积极配合开展处置工作。</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事发地海关应急指挥部协调本级专业力量进行应急处置工作，必要时，及时报请上级海关应急指挥部协调增援。</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事发地海关应急指挥部应对事发现场进行实时监控，了解事态发展变化，研究分析事件性质、危害程度，及时向专业力量、上级海关应急指挥部提供实时动态信息。</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仿宋_GBK" w:cs="Times New Roman" w:hAnsi="Times New Roman"/>
          <w:bCs w:val="0"/>
          <w:spacing w:val="-6"/>
          <w:kern w:val="2"/>
          <w:sz w:val="32"/>
          <w:szCs w:val="32"/>
        </w:rPr>
      </w:pPr>
      <w:bookmarkStart w:id="113" w:name="_Toc15941432"/>
      <w:bookmarkStart w:id="114" w:name="_Toc10549"/>
      <w:bookmarkStart w:id="115" w:name="_Toc29958"/>
      <w:bookmarkStart w:id="116" w:name="_Toc15941205"/>
      <w:bookmarkStart w:id="117" w:name="_Toc15941262"/>
      <w:r>
        <w:rPr>
          <w:rFonts w:ascii="Times New Roman" w:eastAsia="方正仿宋_GBK" w:cs="Times New Roman" w:hAnsi="Times New Roman"/>
          <w:bCs w:val="0"/>
          <w:spacing w:val="-6"/>
          <w:kern w:val="2"/>
          <w:sz w:val="32"/>
          <w:szCs w:val="32"/>
        </w:rPr>
        <w:t>3.2.4信息发布与舆论引导</w:t>
      </w:r>
      <w:bookmarkEnd w:id="113"/>
      <w:bookmarkEnd w:id="114"/>
      <w:bookmarkEnd w:id="115"/>
      <w:bookmarkEnd w:id="116"/>
      <w:bookmarkEnd w:id="117"/>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海关恐怖袭击事件的新闻宣传及舆论引导工作应坚持</w:t>
      </w:r>
      <w:r>
        <w:rPr>
          <w:rFonts w:ascii="Times New Roman" w:eastAsia="方正仿宋_GBK" w:cs="方正仿宋_GBK" w:hAnsi="Times New Roman" w:hint="eastAsia"/>
          <w:spacing w:val="-6"/>
          <w:sz w:val="32"/>
          <w:szCs w:val="32"/>
        </w:rPr>
        <w:t>“一口对外”</w:t>
      </w:r>
      <w:r>
        <w:rPr>
          <w:rFonts w:ascii="Times New Roman" w:eastAsia="方正仿宋_GBK" w:cs="Times New Roman" w:hAnsi="Times New Roman"/>
          <w:spacing w:val="-6"/>
          <w:sz w:val="32"/>
          <w:szCs w:val="32"/>
        </w:rPr>
        <w:t>原则。如需发布的，由昆明海关新闻宣传部门拟定新闻稿件及宣传口径，统一对外发布。对已造成重大社会影响、有媒体主动介入的恐怖袭击事件，应加强与相关媒体的沟通协调，提供正面宣传口径及新闻素材，避免引起社会恐慌或造成不良影响。</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海关其他部门和个人不得向媒体或通过微博、微信等自媒体发布任何相关信息。</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仿宋_GBK" w:cs="Times New Roman" w:hAnsi="Times New Roman"/>
          <w:bCs w:val="0"/>
          <w:spacing w:val="-6"/>
          <w:kern w:val="2"/>
          <w:sz w:val="32"/>
          <w:szCs w:val="32"/>
        </w:rPr>
      </w:pPr>
      <w:bookmarkStart w:id="118" w:name="_Toc15941433"/>
      <w:bookmarkStart w:id="119" w:name="_Toc26863"/>
      <w:bookmarkStart w:id="120" w:name="_Toc14311"/>
      <w:bookmarkStart w:id="121" w:name="_Toc15941206"/>
      <w:bookmarkStart w:id="122" w:name="_Toc15941263"/>
      <w:r>
        <w:rPr>
          <w:rFonts w:ascii="Times New Roman" w:eastAsia="方正仿宋_GBK" w:cs="Times New Roman" w:hAnsi="Times New Roman"/>
          <w:bCs w:val="0"/>
          <w:spacing w:val="-6"/>
          <w:kern w:val="2"/>
          <w:sz w:val="32"/>
          <w:szCs w:val="32"/>
        </w:rPr>
        <w:t>3.2.5应急结束</w:t>
      </w:r>
      <w:bookmarkEnd w:id="118"/>
      <w:bookmarkEnd w:id="119"/>
      <w:bookmarkEnd w:id="120"/>
      <w:bookmarkEnd w:id="121"/>
      <w:bookmarkEnd w:id="122"/>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恐怖袭击事件应急处置工作结束或取得预期处置结果，或相关威胁和危害消除后，事发地海关应急指挥部根据专业力量处置情况及工作建议，可终止应急工作，但同时应采取或者继续实施必要措施，防止恐怖袭击事件的次生、衍生事件。</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123" w:name="_Toc15941434"/>
      <w:bookmarkStart w:id="124" w:name="_Toc20177"/>
      <w:bookmarkStart w:id="125" w:name="_Toc13333"/>
      <w:bookmarkStart w:id="126" w:name="_Toc15941207"/>
      <w:bookmarkStart w:id="127" w:name="_Toc15941264"/>
      <w:r>
        <w:rPr>
          <w:rFonts w:ascii="Times New Roman" w:eastAsia="方正楷体_GBK" w:cs="Times New Roman" w:hAnsi="Times New Roman"/>
          <w:bCs w:val="0"/>
          <w:spacing w:val="-6"/>
          <w:kern w:val="2"/>
          <w:sz w:val="32"/>
          <w:szCs w:val="32"/>
        </w:rPr>
        <w:t>3.3恢复与重建</w:t>
      </w:r>
      <w:bookmarkEnd w:id="123"/>
      <w:bookmarkEnd w:id="124"/>
      <w:bookmarkEnd w:id="125"/>
      <w:bookmarkEnd w:id="126"/>
      <w:bookmarkEnd w:id="127"/>
    </w:p>
    <w:p>
      <w:pPr>
        <w:pStyle w:val="22"/>
        <w:keepNext/>
        <w:keepLines/>
        <w:widowControl w:val="0"/>
        <w:spacing w:before="0" w:beforeAutospacing="0" w:after="0" w:afterAutospacing="0" w:line="560" w:lineRule="exact"/>
        <w:ind w:firstLineChars="200" w:firstLine="616"/>
        <w:jc w:val="both"/>
        <w:outlineLvl w:val="9"/>
        <w:rPr>
          <w:rFonts w:ascii="Times New Roman" w:eastAsia="方正仿宋_GBK" w:cs="Times New Roman" w:hAnsi="Times New Roman"/>
          <w:bCs w:val="0"/>
          <w:spacing w:val="-6"/>
          <w:kern w:val="2"/>
          <w:sz w:val="32"/>
          <w:szCs w:val="32"/>
        </w:rPr>
      </w:pPr>
      <w:bookmarkStart w:id="128" w:name="_Toc15941435"/>
      <w:bookmarkStart w:id="129" w:name="_Toc14121"/>
      <w:bookmarkStart w:id="130" w:name="_Toc5254"/>
      <w:bookmarkStart w:id="131" w:name="_Toc15941208"/>
      <w:bookmarkStart w:id="132" w:name="_Toc15941265"/>
      <w:r>
        <w:rPr>
          <w:rFonts w:ascii="Times New Roman" w:eastAsia="方正仿宋_GBK" w:cs="Times New Roman" w:hAnsi="Times New Roman"/>
          <w:bCs w:val="0"/>
          <w:spacing w:val="-6"/>
          <w:kern w:val="2"/>
          <w:sz w:val="32"/>
          <w:szCs w:val="32"/>
        </w:rPr>
        <w:t>3.3.1善后处置</w:t>
      </w:r>
      <w:bookmarkEnd w:id="128"/>
      <w:bookmarkEnd w:id="129"/>
      <w:bookmarkEnd w:id="130"/>
      <w:bookmarkEnd w:id="131"/>
      <w:bookmarkEnd w:id="132"/>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配合专业力量做好恐怖袭击事件引起的伤员救护、疫情防控与卫生处理等工作。</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仿宋_GBK" w:cs="Times New Roman" w:hAnsi="Times New Roman"/>
          <w:bCs w:val="0"/>
          <w:spacing w:val="-6"/>
          <w:kern w:val="2"/>
          <w:sz w:val="32"/>
          <w:szCs w:val="32"/>
        </w:rPr>
      </w:pPr>
      <w:bookmarkStart w:id="133" w:name="_Toc15941436"/>
      <w:bookmarkStart w:id="134" w:name="_Toc21655"/>
      <w:bookmarkStart w:id="135" w:name="_Toc18935"/>
      <w:bookmarkStart w:id="136" w:name="_Toc15941209"/>
      <w:bookmarkStart w:id="137" w:name="_Toc15941266"/>
      <w:r>
        <w:rPr>
          <w:rFonts w:ascii="Times New Roman" w:eastAsia="方正仿宋_GBK" w:cs="Times New Roman" w:hAnsi="Times New Roman"/>
          <w:bCs w:val="0"/>
          <w:spacing w:val="-6"/>
          <w:kern w:val="2"/>
          <w:sz w:val="32"/>
          <w:szCs w:val="32"/>
        </w:rPr>
        <w:t>3.3.2调查与评估</w:t>
      </w:r>
      <w:bookmarkEnd w:id="133"/>
      <w:bookmarkEnd w:id="134"/>
      <w:bookmarkEnd w:id="135"/>
      <w:bookmarkEnd w:id="136"/>
      <w:bookmarkEnd w:id="137"/>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应急工作结束后，由事发地海关组织对恐怖袭击事件的过程、造成危害及损失进行评估总结，报昆明海关备案。评估总结内容应包括事件经过情况、采取的应对措施、造成的损失或影响等。</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昆明海关及事发地海关应及时总结恐怖袭击事件的经验教训，完善相关应急预案及工作措施。</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仿宋_GBK" w:cs="Times New Roman" w:hAnsi="Times New Roman"/>
          <w:bCs w:val="0"/>
          <w:spacing w:val="-6"/>
          <w:kern w:val="2"/>
          <w:sz w:val="32"/>
          <w:szCs w:val="32"/>
        </w:rPr>
      </w:pPr>
      <w:bookmarkStart w:id="138" w:name="_Toc15941437"/>
      <w:bookmarkStart w:id="139" w:name="_Toc19356"/>
      <w:bookmarkStart w:id="140" w:name="_Toc25674"/>
      <w:bookmarkStart w:id="141" w:name="_Toc15941210"/>
      <w:bookmarkStart w:id="142" w:name="_Toc15941267"/>
      <w:r>
        <w:rPr>
          <w:rFonts w:ascii="Times New Roman" w:eastAsia="方正仿宋_GBK" w:cs="Times New Roman" w:hAnsi="Times New Roman"/>
          <w:bCs w:val="0"/>
          <w:spacing w:val="-6"/>
          <w:kern w:val="2"/>
          <w:sz w:val="32"/>
          <w:szCs w:val="32"/>
        </w:rPr>
        <w:t>3.3.3恢复重建</w:t>
      </w:r>
      <w:bookmarkEnd w:id="138"/>
      <w:bookmarkEnd w:id="139"/>
      <w:bookmarkEnd w:id="140"/>
      <w:bookmarkEnd w:id="141"/>
      <w:bookmarkEnd w:id="142"/>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事发地海关应急指挥部按照专业力量及昆明海关部署，开展后续工作，必要时可提请昆明海关、事发地政府协调有关部门做好相关善后工作，提供资金、物资、人员支持和技术指导，尽快恢复海关正常工作秩序。</w:t>
      </w:r>
    </w:p>
    <w:p>
      <w:pPr>
        <w:pStyle w:val="24"/>
        <w:spacing w:line="560" w:lineRule="exact"/>
        <w:ind w:firstLineChars="200" w:firstLine="616"/>
        <w:jc w:val="left"/>
        <w:outlineLvl w:val="9"/>
        <w:rPr>
          <w:rFonts w:eastAsia="方正黑体_GBK"/>
          <w:b w:val="0"/>
          <w:spacing w:val="-6"/>
          <w:sz w:val="32"/>
          <w:szCs w:val="32"/>
        </w:rPr>
      </w:pPr>
      <w:bookmarkStart w:id="143" w:name="_Toc15941438"/>
      <w:bookmarkStart w:id="144" w:name="_Toc26765"/>
      <w:bookmarkStart w:id="145" w:name="_Toc16522"/>
      <w:bookmarkStart w:id="146" w:name="_Toc15941211"/>
      <w:bookmarkStart w:id="147" w:name="_Toc15941268"/>
      <w:r>
        <w:rPr>
          <w:rFonts w:eastAsia="方正黑体_GBK"/>
          <w:b w:val="0"/>
          <w:spacing w:val="-6"/>
          <w:sz w:val="32"/>
          <w:szCs w:val="32"/>
        </w:rPr>
        <w:t>4准备与支持</w:t>
      </w:r>
      <w:bookmarkEnd w:id="143"/>
      <w:bookmarkEnd w:id="144"/>
      <w:bookmarkEnd w:id="145"/>
      <w:bookmarkEnd w:id="146"/>
      <w:bookmarkEnd w:id="147"/>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148" w:name="_Toc15941439"/>
      <w:bookmarkStart w:id="149" w:name="_Toc6274"/>
      <w:bookmarkStart w:id="150" w:name="_Toc15356"/>
      <w:bookmarkStart w:id="151" w:name="_Toc15941212"/>
      <w:bookmarkStart w:id="152" w:name="_Toc15941269"/>
      <w:r>
        <w:rPr>
          <w:rFonts w:ascii="Times New Roman" w:eastAsia="方正楷体_GBK" w:cs="Times New Roman" w:hAnsi="Times New Roman"/>
          <w:bCs w:val="0"/>
          <w:spacing w:val="-6"/>
          <w:kern w:val="2"/>
          <w:sz w:val="32"/>
          <w:szCs w:val="32"/>
        </w:rPr>
        <w:t>4.1人力资源</w:t>
      </w:r>
      <w:bookmarkEnd w:id="148"/>
      <w:bookmarkEnd w:id="149"/>
      <w:bookmarkEnd w:id="150"/>
      <w:bookmarkEnd w:id="151"/>
      <w:bookmarkEnd w:id="152"/>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昆明海关及各隶属海关应根据实际工作需要，做好人力资源保障，建立相对稳定、掌握相关技能的反恐应急队伍。</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昆明海关及各隶属海关应加强专家组建设，保持队伍稳定。</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153" w:name="_Toc15941440"/>
      <w:bookmarkStart w:id="154" w:name="_Toc28437"/>
      <w:bookmarkStart w:id="155" w:name="_Toc16997"/>
      <w:bookmarkStart w:id="156" w:name="_Toc15941213"/>
      <w:bookmarkStart w:id="157" w:name="_Toc15941270"/>
      <w:r>
        <w:rPr>
          <w:rFonts w:ascii="Times New Roman" w:eastAsia="方正楷体_GBK" w:cs="Times New Roman" w:hAnsi="Times New Roman"/>
          <w:bCs w:val="0"/>
          <w:spacing w:val="-6"/>
          <w:kern w:val="2"/>
          <w:sz w:val="32"/>
          <w:szCs w:val="32"/>
        </w:rPr>
        <w:t>4.2财力支持</w:t>
      </w:r>
      <w:bookmarkEnd w:id="153"/>
      <w:bookmarkEnd w:id="154"/>
      <w:bookmarkEnd w:id="155"/>
      <w:bookmarkEnd w:id="156"/>
      <w:bookmarkEnd w:id="157"/>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昆明海关及各隶属海关应当为反恐基础建设、设备设施配备、培训演练等提供经费支持，并保障应急工作所需经费。</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158" w:name="_Toc15941441"/>
      <w:bookmarkStart w:id="159" w:name="_Toc28318"/>
      <w:bookmarkStart w:id="160" w:name="_Toc8696"/>
      <w:bookmarkStart w:id="161" w:name="_Toc15941214"/>
      <w:bookmarkStart w:id="162" w:name="_Toc15941271"/>
      <w:r>
        <w:rPr>
          <w:rFonts w:ascii="Times New Roman" w:eastAsia="方正楷体_GBK" w:cs="Times New Roman" w:hAnsi="Times New Roman"/>
          <w:bCs w:val="0"/>
          <w:spacing w:val="-6"/>
          <w:kern w:val="2"/>
          <w:sz w:val="32"/>
          <w:szCs w:val="32"/>
        </w:rPr>
        <w:t>4.3物资装备</w:t>
      </w:r>
      <w:bookmarkEnd w:id="158"/>
      <w:bookmarkEnd w:id="159"/>
      <w:bookmarkEnd w:id="160"/>
      <w:bookmarkEnd w:id="161"/>
      <w:bookmarkEnd w:id="162"/>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及各隶属海关应结合海关口岸监管环节实际工作情况，配备必要的反恐防暴、检测监测、隔离、防冲撞等设备设施及相关防护、急救器材，并定期对相关设备设施、器材进行校准校验、维护保养、更新换代，确保功能正常使用。</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163" w:name="_Toc15941442"/>
      <w:bookmarkStart w:id="164" w:name="_Toc26541"/>
      <w:bookmarkStart w:id="165" w:name="_Toc28295"/>
      <w:bookmarkStart w:id="166" w:name="_Toc15941215"/>
      <w:bookmarkStart w:id="167" w:name="_Toc15941272"/>
      <w:r>
        <w:rPr>
          <w:rFonts w:ascii="Times New Roman" w:eastAsia="方正楷体_GBK" w:cs="Times New Roman" w:hAnsi="Times New Roman"/>
          <w:bCs w:val="0"/>
          <w:spacing w:val="-6"/>
          <w:kern w:val="2"/>
          <w:sz w:val="32"/>
          <w:szCs w:val="32"/>
        </w:rPr>
        <w:t>4.4科技支撑</w:t>
      </w:r>
      <w:bookmarkEnd w:id="163"/>
      <w:bookmarkEnd w:id="164"/>
      <w:bookmarkEnd w:id="165"/>
      <w:bookmarkEnd w:id="166"/>
      <w:bookmarkEnd w:id="167"/>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昆明海关及各隶属海关应当不断提高通信通讯保障能力，确保在任何情况下，上下级海关之间至少有一种联系方式畅通。</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168" w:name="_Toc15941443"/>
      <w:bookmarkStart w:id="169" w:name="_Toc13535"/>
      <w:bookmarkStart w:id="170" w:name="_Toc22592"/>
      <w:bookmarkStart w:id="171" w:name="_Toc15941216"/>
      <w:bookmarkStart w:id="172" w:name="_Toc15941273"/>
      <w:r>
        <w:rPr>
          <w:rFonts w:ascii="Times New Roman" w:eastAsia="方正楷体_GBK" w:cs="Times New Roman" w:hAnsi="Times New Roman"/>
          <w:bCs w:val="0"/>
          <w:spacing w:val="-6"/>
          <w:kern w:val="2"/>
          <w:sz w:val="32"/>
          <w:szCs w:val="32"/>
        </w:rPr>
        <w:t>4.5交通运输保障</w:t>
      </w:r>
      <w:bookmarkEnd w:id="168"/>
      <w:bookmarkEnd w:id="169"/>
      <w:bookmarkEnd w:id="170"/>
      <w:bookmarkEnd w:id="171"/>
      <w:bookmarkEnd w:id="172"/>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昆明海关及各隶属海关应健全交通应急疏导机制，合理规划遭遇恐怖袭击事件后的人员疏散路线图和应急通道，予以标识或提示，并做好所需应急交通运输工具的保障工作。</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173" w:name="_Toc15941444"/>
      <w:bookmarkStart w:id="174" w:name="_Toc1542"/>
      <w:bookmarkStart w:id="175" w:name="_Toc14632"/>
      <w:bookmarkStart w:id="176" w:name="_Toc15941217"/>
      <w:bookmarkStart w:id="177" w:name="_Toc15941274"/>
      <w:r>
        <w:rPr>
          <w:rFonts w:ascii="Times New Roman" w:eastAsia="方正楷体_GBK" w:cs="Times New Roman" w:hAnsi="Times New Roman"/>
          <w:bCs w:val="0"/>
          <w:spacing w:val="-6"/>
          <w:kern w:val="2"/>
          <w:sz w:val="32"/>
          <w:szCs w:val="32"/>
        </w:rPr>
        <w:t>4.6综合保障</w:t>
      </w:r>
      <w:bookmarkEnd w:id="173"/>
      <w:bookmarkEnd w:id="174"/>
      <w:bookmarkEnd w:id="175"/>
      <w:bookmarkEnd w:id="176"/>
      <w:bookmarkEnd w:id="177"/>
    </w:p>
    <w:p>
      <w:pPr>
        <w:pStyle w:val="22"/>
        <w:keepNext/>
        <w:keepLines/>
        <w:widowControl w:val="0"/>
        <w:spacing w:before="0" w:beforeAutospacing="0" w:after="0" w:afterAutospacing="0" w:line="560" w:lineRule="exact"/>
        <w:ind w:firstLineChars="200" w:firstLine="616"/>
        <w:jc w:val="both"/>
        <w:outlineLvl w:val="9"/>
        <w:rPr>
          <w:rFonts w:ascii="Times New Roman" w:eastAsia="方正仿宋_GBK" w:cs="Times New Roman" w:hAnsi="Times New Roman"/>
          <w:bCs w:val="0"/>
          <w:spacing w:val="-6"/>
          <w:kern w:val="2"/>
          <w:sz w:val="32"/>
          <w:szCs w:val="32"/>
        </w:rPr>
      </w:pPr>
      <w:bookmarkStart w:id="178" w:name="_Toc15941445"/>
      <w:bookmarkStart w:id="179" w:name="_Toc27979"/>
      <w:bookmarkStart w:id="180" w:name="_Toc27877"/>
      <w:bookmarkStart w:id="181" w:name="_Toc15941218"/>
      <w:bookmarkStart w:id="182" w:name="_Toc15941275"/>
      <w:r>
        <w:rPr>
          <w:rFonts w:ascii="Times New Roman" w:eastAsia="方正仿宋_GBK" w:cs="Times New Roman" w:hAnsi="Times New Roman"/>
          <w:bCs w:val="0"/>
          <w:spacing w:val="-6"/>
          <w:kern w:val="2"/>
          <w:sz w:val="32"/>
          <w:szCs w:val="32"/>
        </w:rPr>
        <w:t>4.6.1指挥部建设</w:t>
      </w:r>
      <w:bookmarkEnd w:id="178"/>
      <w:bookmarkEnd w:id="179"/>
      <w:bookmarkEnd w:id="180"/>
      <w:bookmarkEnd w:id="181"/>
      <w:bookmarkEnd w:id="182"/>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昆明海关及各隶属海关应做好本级海关应急指挥部的基本建设，包括应急指挥部启动时的场地、设备设施、通信、警戒和后勤等。</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仿宋_GBK" w:cs="Times New Roman" w:hAnsi="Times New Roman"/>
          <w:bCs w:val="0"/>
          <w:spacing w:val="-6"/>
          <w:kern w:val="2"/>
          <w:sz w:val="32"/>
          <w:szCs w:val="32"/>
        </w:rPr>
      </w:pPr>
      <w:bookmarkStart w:id="183" w:name="_Toc15941446"/>
      <w:bookmarkStart w:id="184" w:name="_Toc22654"/>
      <w:bookmarkStart w:id="185" w:name="_Toc31813"/>
      <w:bookmarkStart w:id="186" w:name="_Toc15941219"/>
      <w:bookmarkStart w:id="187" w:name="_Toc15941276"/>
      <w:r>
        <w:rPr>
          <w:rFonts w:ascii="Times New Roman" w:eastAsia="方正仿宋_GBK" w:cs="Times New Roman" w:hAnsi="Times New Roman"/>
          <w:bCs w:val="0"/>
          <w:spacing w:val="-6"/>
          <w:kern w:val="2"/>
          <w:sz w:val="32"/>
          <w:szCs w:val="32"/>
        </w:rPr>
        <w:t>4.6.2联络机制保障</w:t>
      </w:r>
      <w:bookmarkEnd w:id="183"/>
      <w:bookmarkEnd w:id="184"/>
      <w:bookmarkEnd w:id="185"/>
      <w:bookmarkEnd w:id="186"/>
      <w:bookmarkEnd w:id="187"/>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昆明海关及各隶属海关要建立与专业力量的日常工作联络、信息情报支持和重大情况沟通机制，与各有关部门实现信息互通、工作联动、责任到人。</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各隶属海关在与相关部门的联系沟通中遇到困难的，可将相关情况及时报告昆明海关。昆明海关应予以协调解决。</w:t>
      </w:r>
    </w:p>
    <w:p>
      <w:pPr>
        <w:pStyle w:val="24"/>
        <w:spacing w:line="560" w:lineRule="exact"/>
        <w:ind w:firstLineChars="200" w:firstLine="616"/>
        <w:jc w:val="left"/>
        <w:outlineLvl w:val="9"/>
        <w:rPr>
          <w:rFonts w:eastAsia="方正黑体_GBK"/>
          <w:b w:val="0"/>
          <w:spacing w:val="-6"/>
          <w:sz w:val="32"/>
          <w:szCs w:val="32"/>
        </w:rPr>
      </w:pPr>
      <w:bookmarkStart w:id="188" w:name="_Toc15941447"/>
      <w:bookmarkStart w:id="189" w:name="_Toc24658"/>
      <w:bookmarkStart w:id="190" w:name="_Toc1166"/>
      <w:bookmarkStart w:id="191" w:name="_Toc15941220"/>
      <w:bookmarkStart w:id="192" w:name="_Toc15941277"/>
      <w:r>
        <w:rPr>
          <w:rFonts w:eastAsia="方正黑体_GBK"/>
          <w:b w:val="0"/>
          <w:spacing w:val="-6"/>
          <w:sz w:val="32"/>
          <w:szCs w:val="32"/>
        </w:rPr>
        <w:t>5应急预案管理</w:t>
      </w:r>
      <w:bookmarkEnd w:id="188"/>
      <w:bookmarkEnd w:id="189"/>
      <w:bookmarkEnd w:id="190"/>
      <w:bookmarkEnd w:id="191"/>
      <w:bookmarkEnd w:id="192"/>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193" w:name="_Toc15941448"/>
      <w:bookmarkStart w:id="194" w:name="_Toc10043"/>
      <w:bookmarkStart w:id="195" w:name="_Toc26089"/>
      <w:bookmarkStart w:id="196" w:name="_Toc15941221"/>
      <w:bookmarkStart w:id="197" w:name="_Toc15941278"/>
      <w:r>
        <w:rPr>
          <w:rFonts w:ascii="Times New Roman" w:eastAsia="方正楷体_GBK" w:cs="Times New Roman" w:hAnsi="Times New Roman"/>
          <w:bCs w:val="0"/>
          <w:spacing w:val="-6"/>
          <w:kern w:val="2"/>
          <w:sz w:val="32"/>
          <w:szCs w:val="32"/>
        </w:rPr>
        <w:t>5.1预案编制</w:t>
      </w:r>
      <w:bookmarkEnd w:id="193"/>
      <w:bookmarkEnd w:id="194"/>
      <w:bookmarkEnd w:id="195"/>
      <w:bookmarkEnd w:id="196"/>
      <w:bookmarkEnd w:id="197"/>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根据《昆明海关突发事件应急预案》规定，本预案属于《昆明</w:t>
      </w:r>
      <w:r>
        <w:rPr>
          <w:rFonts w:ascii="Times New Roman" w:eastAsia="方正仿宋_GBK" w:cs="Times New Roman" w:hAnsi="Times New Roman" w:hint="eastAsia"/>
          <w:spacing w:val="-6"/>
          <w:sz w:val="32"/>
          <w:szCs w:val="32"/>
        </w:rPr>
        <w:t>海关突发事件应急预案</w:t>
      </w:r>
      <w:r>
        <w:rPr>
          <w:rFonts w:ascii="Times New Roman" w:eastAsia="方正仿宋_GBK" w:cs="Times New Roman" w:hAnsi="Times New Roman"/>
          <w:spacing w:val="-6"/>
          <w:sz w:val="32"/>
          <w:szCs w:val="32"/>
        </w:rPr>
        <w:t>》项下的专项应急预案，由口岸监管处负责管理。</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各隶属海关应依照本预案制定本级海关口岸监管环节恐怖袭击事件应急预案，并负责辖区内海关相关应急预案的统筹管理工作。</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仿宋_GBK" w:cs="Times New Roman" w:hAnsi="Times New Roman"/>
          <w:spacing w:val="-6"/>
          <w:sz w:val="32"/>
          <w:szCs w:val="32"/>
        </w:rPr>
      </w:pPr>
      <w:bookmarkStart w:id="198" w:name="_Toc15941449"/>
      <w:bookmarkStart w:id="199" w:name="_Toc18246"/>
      <w:bookmarkStart w:id="200" w:name="_Toc15076"/>
      <w:bookmarkStart w:id="201" w:name="_Toc15941222"/>
      <w:bookmarkStart w:id="202" w:name="_Toc15941279"/>
      <w:r>
        <w:rPr>
          <w:rFonts w:ascii="Times New Roman" w:eastAsia="方正楷体_GBK" w:cs="Times New Roman" w:hAnsi="Times New Roman"/>
          <w:bCs w:val="0"/>
          <w:spacing w:val="-6"/>
          <w:kern w:val="2"/>
          <w:sz w:val="32"/>
          <w:szCs w:val="32"/>
        </w:rPr>
        <w:t>5.2预案审批</w:t>
      </w:r>
      <w:bookmarkEnd w:id="198"/>
      <w:bookmarkEnd w:id="199"/>
      <w:bookmarkEnd w:id="200"/>
      <w:bookmarkEnd w:id="201"/>
      <w:bookmarkEnd w:id="202"/>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各隶属海关的口岸监管环节恐怖袭击事件应急预案经本单位主要负责人审批并签发后，报口岸监管处备案。</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203" w:name="_Toc15941450"/>
      <w:bookmarkStart w:id="204" w:name="_Toc6401"/>
      <w:bookmarkStart w:id="205" w:name="_Toc22971"/>
      <w:bookmarkStart w:id="206" w:name="_Toc15941223"/>
      <w:bookmarkStart w:id="207" w:name="_Toc15941280"/>
      <w:r>
        <w:rPr>
          <w:rFonts w:ascii="Times New Roman" w:eastAsia="方正楷体_GBK" w:cs="Times New Roman" w:hAnsi="Times New Roman"/>
          <w:bCs w:val="0"/>
          <w:spacing w:val="-6"/>
          <w:kern w:val="2"/>
          <w:sz w:val="32"/>
          <w:szCs w:val="32"/>
        </w:rPr>
        <w:t>5.3预案演练</w:t>
      </w:r>
      <w:bookmarkEnd w:id="203"/>
      <w:bookmarkEnd w:id="204"/>
      <w:bookmarkEnd w:id="205"/>
      <w:bookmarkEnd w:id="206"/>
      <w:bookmarkEnd w:id="207"/>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各隶属关应结合本关实际情况及面临形势，定期组织开展现场关员反恐技能培训和实操演练，提高关员应对恐怖袭击能力，提升应急工作水平。</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208" w:name="_Toc15941451"/>
      <w:bookmarkStart w:id="209" w:name="_Toc7592"/>
      <w:bookmarkStart w:id="210" w:name="_Toc18703"/>
      <w:bookmarkStart w:id="211" w:name="_Toc15941224"/>
      <w:bookmarkStart w:id="212" w:name="_Toc15941281"/>
      <w:r>
        <w:rPr>
          <w:rFonts w:ascii="Times New Roman" w:eastAsia="方正楷体_GBK" w:cs="Times New Roman" w:hAnsi="Times New Roman"/>
          <w:bCs w:val="0"/>
          <w:spacing w:val="-6"/>
          <w:kern w:val="2"/>
          <w:sz w:val="32"/>
          <w:szCs w:val="32"/>
        </w:rPr>
        <w:t>5.4预案修订</w:t>
      </w:r>
      <w:bookmarkEnd w:id="208"/>
      <w:bookmarkEnd w:id="209"/>
      <w:bookmarkEnd w:id="210"/>
      <w:bookmarkEnd w:id="211"/>
      <w:bookmarkEnd w:id="212"/>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昆明海关根据形势变化和实际需要，及时修订和更新本应急预案。</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各隶属关应根据</w:t>
      </w:r>
      <w:r>
        <w:rPr>
          <w:rFonts w:ascii="Times New Roman" w:eastAsia="方正仿宋_GBK" w:cs="Times New Roman" w:hAnsi="Times New Roman" w:hint="eastAsia"/>
          <w:spacing w:val="-6"/>
          <w:sz w:val="32"/>
          <w:szCs w:val="32"/>
        </w:rPr>
        <w:t>本应急预案修订情况和</w:t>
      </w:r>
      <w:r>
        <w:rPr>
          <w:rFonts w:ascii="Times New Roman" w:eastAsia="方正仿宋_GBK" w:cs="Times New Roman" w:hAnsi="Times New Roman"/>
          <w:spacing w:val="-6"/>
          <w:sz w:val="32"/>
          <w:szCs w:val="32"/>
        </w:rPr>
        <w:t>形势变化</w:t>
      </w:r>
      <w:r>
        <w:rPr>
          <w:rFonts w:ascii="Times New Roman" w:eastAsia="方正仿宋_GBK" w:cs="Times New Roman" w:hAnsi="Times New Roman" w:hint="eastAsia"/>
          <w:spacing w:val="-6"/>
          <w:sz w:val="32"/>
          <w:szCs w:val="32"/>
        </w:rPr>
        <w:t>及</w:t>
      </w:r>
      <w:r>
        <w:rPr>
          <w:rFonts w:ascii="Times New Roman" w:eastAsia="方正仿宋_GBK" w:cs="Times New Roman" w:hAnsi="Times New Roman"/>
          <w:spacing w:val="-6"/>
          <w:sz w:val="32"/>
          <w:szCs w:val="32"/>
        </w:rPr>
        <w:t>实际需要，及时修订和更新本级相关应急预案，并报口岸监管处备案。</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213" w:name="_Toc15941452"/>
      <w:bookmarkStart w:id="214" w:name="_Toc13274"/>
      <w:bookmarkStart w:id="215" w:name="_Toc26615"/>
      <w:bookmarkStart w:id="216" w:name="_Toc15941225"/>
      <w:bookmarkStart w:id="217" w:name="_Toc15941282"/>
      <w:r>
        <w:rPr>
          <w:rFonts w:ascii="Times New Roman" w:eastAsia="方正楷体_GBK" w:cs="Times New Roman" w:hAnsi="Times New Roman"/>
          <w:bCs w:val="0"/>
          <w:spacing w:val="-6"/>
          <w:kern w:val="2"/>
          <w:sz w:val="32"/>
          <w:szCs w:val="32"/>
        </w:rPr>
        <w:t>5.5宣传和培训</w:t>
      </w:r>
      <w:bookmarkEnd w:id="213"/>
      <w:bookmarkEnd w:id="214"/>
      <w:bookmarkEnd w:id="215"/>
      <w:bookmarkEnd w:id="216"/>
      <w:bookmarkEnd w:id="217"/>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昆明海关及各隶属关应配合相关主管部门，加强反恐怖袭击宣传</w:t>
      </w:r>
      <w:r>
        <w:rPr>
          <w:rFonts w:ascii="Times New Roman" w:eastAsia="方正仿宋_GBK" w:cs="Times New Roman" w:hAnsi="Times New Roman" w:hint="eastAsia"/>
          <w:spacing w:val="-6"/>
          <w:sz w:val="32"/>
          <w:szCs w:val="32"/>
        </w:rPr>
        <w:t>与培训</w:t>
      </w:r>
      <w:r>
        <w:rPr>
          <w:rFonts w:ascii="Times New Roman" w:eastAsia="方正仿宋_GBK" w:cs="Times New Roman" w:hAnsi="Times New Roman"/>
          <w:spacing w:val="-6"/>
          <w:sz w:val="32"/>
          <w:szCs w:val="32"/>
        </w:rPr>
        <w:t>，提高应对恐怖袭击事件的意识和能力。</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218" w:name="_Toc15941453"/>
      <w:bookmarkStart w:id="219" w:name="_Toc4033"/>
      <w:bookmarkStart w:id="220" w:name="_Toc4933"/>
      <w:bookmarkStart w:id="221" w:name="_Toc15941226"/>
      <w:bookmarkStart w:id="222" w:name="_Toc15941283"/>
      <w:r>
        <w:rPr>
          <w:rFonts w:ascii="Times New Roman" w:eastAsia="方正楷体_GBK" w:cs="Times New Roman" w:hAnsi="Times New Roman"/>
          <w:bCs w:val="0"/>
          <w:spacing w:val="-6"/>
          <w:kern w:val="2"/>
          <w:sz w:val="32"/>
          <w:szCs w:val="32"/>
        </w:rPr>
        <w:t>5.6责任与奖惩</w:t>
      </w:r>
      <w:bookmarkEnd w:id="218"/>
      <w:bookmarkEnd w:id="219"/>
      <w:bookmarkEnd w:id="220"/>
      <w:bookmarkEnd w:id="221"/>
      <w:bookmarkEnd w:id="222"/>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对在恐怖袭击事件应急工作中做出突出贡献的单位和个人，根据海关有关规定，给予表彰和奖励。</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违反本预案规定，不履行职责，造成严重后果的，坚决按照有关规定进行责任追究。</w:t>
      </w:r>
    </w:p>
    <w:p>
      <w:pPr>
        <w:pStyle w:val="24"/>
        <w:spacing w:line="560" w:lineRule="exact"/>
        <w:ind w:firstLineChars="200" w:firstLine="616"/>
        <w:jc w:val="left"/>
        <w:outlineLvl w:val="9"/>
        <w:rPr>
          <w:rFonts w:eastAsia="方正黑体_GBK"/>
          <w:b w:val="0"/>
          <w:spacing w:val="-6"/>
          <w:sz w:val="32"/>
          <w:szCs w:val="32"/>
        </w:rPr>
      </w:pPr>
      <w:bookmarkStart w:id="223" w:name="_Toc15941454"/>
      <w:bookmarkStart w:id="224" w:name="_Toc16324"/>
      <w:bookmarkStart w:id="225" w:name="_Toc19774"/>
      <w:bookmarkStart w:id="226" w:name="_Toc15941227"/>
      <w:bookmarkStart w:id="227" w:name="_Toc15941284"/>
      <w:r>
        <w:rPr>
          <w:rFonts w:eastAsia="方正黑体_GBK"/>
          <w:b w:val="0"/>
          <w:spacing w:val="-6"/>
          <w:sz w:val="32"/>
          <w:szCs w:val="32"/>
        </w:rPr>
        <w:t>6附则</w:t>
      </w:r>
      <w:bookmarkEnd w:id="223"/>
      <w:bookmarkEnd w:id="224"/>
      <w:bookmarkEnd w:id="225"/>
      <w:bookmarkEnd w:id="226"/>
      <w:bookmarkEnd w:id="227"/>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228" w:name="_Toc15941455"/>
      <w:bookmarkStart w:id="229" w:name="_Toc18186"/>
      <w:bookmarkStart w:id="230" w:name="_Toc12249"/>
      <w:bookmarkStart w:id="231" w:name="_Toc15941228"/>
      <w:bookmarkStart w:id="232" w:name="_Toc15941285"/>
      <w:r>
        <w:rPr>
          <w:rFonts w:ascii="Times New Roman" w:eastAsia="方正楷体_GBK" w:cs="Times New Roman" w:hAnsi="Times New Roman"/>
          <w:bCs w:val="0"/>
          <w:spacing w:val="-6"/>
          <w:kern w:val="2"/>
          <w:sz w:val="32"/>
          <w:szCs w:val="32"/>
        </w:rPr>
        <w:t>6.1解释</w:t>
      </w:r>
      <w:bookmarkEnd w:id="228"/>
      <w:bookmarkEnd w:id="229"/>
      <w:bookmarkEnd w:id="230"/>
      <w:bookmarkEnd w:id="231"/>
      <w:bookmarkEnd w:id="232"/>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本预案由昆明海关负责解释。</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233" w:name="_Toc15941456"/>
      <w:bookmarkStart w:id="234" w:name="_Toc1020"/>
      <w:bookmarkStart w:id="235" w:name="_Toc18916"/>
      <w:bookmarkStart w:id="236" w:name="_Toc15941229"/>
      <w:bookmarkStart w:id="237" w:name="_Toc15941286"/>
      <w:r>
        <w:rPr>
          <w:rFonts w:ascii="Times New Roman" w:eastAsia="方正楷体_GBK" w:cs="Times New Roman" w:hAnsi="Times New Roman"/>
          <w:bCs w:val="0"/>
          <w:spacing w:val="-6"/>
          <w:kern w:val="2"/>
          <w:sz w:val="32"/>
          <w:szCs w:val="32"/>
        </w:rPr>
        <w:t>6.2实施</w:t>
      </w:r>
      <w:bookmarkEnd w:id="233"/>
      <w:bookmarkEnd w:id="234"/>
      <w:bookmarkEnd w:id="235"/>
      <w:bookmarkEnd w:id="236"/>
      <w:bookmarkEnd w:id="237"/>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本预案自印发之日起实施。</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238" w:name="_Toc15941457"/>
      <w:bookmarkStart w:id="239" w:name="_Toc19142"/>
      <w:bookmarkStart w:id="240" w:name="_Toc7131"/>
      <w:bookmarkStart w:id="241" w:name="_Toc15941230"/>
      <w:bookmarkStart w:id="242" w:name="_Toc15941287"/>
      <w:r>
        <w:rPr>
          <w:rFonts w:ascii="Times New Roman" w:eastAsia="方正楷体_GBK" w:cs="Times New Roman" w:hAnsi="Times New Roman"/>
          <w:bCs w:val="0"/>
          <w:spacing w:val="-6"/>
          <w:kern w:val="2"/>
          <w:sz w:val="32"/>
          <w:szCs w:val="32"/>
        </w:rPr>
        <w:t>6.3检查评估</w:t>
      </w:r>
      <w:bookmarkEnd w:id="238"/>
      <w:bookmarkEnd w:id="239"/>
      <w:bookmarkEnd w:id="240"/>
      <w:bookmarkEnd w:id="241"/>
      <w:bookmarkEnd w:id="242"/>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昆明海关不定期对本预案的执行情况进行检查评估，查找问题和提出改进意见。昆明海关应加强对本级及下属单位预案执行情况的检查评估。</w:t>
      </w:r>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243" w:name="_Toc15941458"/>
      <w:bookmarkStart w:id="244" w:name="_Toc23474"/>
      <w:bookmarkStart w:id="245" w:name="_Toc21666"/>
      <w:bookmarkStart w:id="246" w:name="_Toc15941231"/>
      <w:bookmarkStart w:id="247" w:name="_Toc15941288"/>
      <w:r>
        <w:rPr>
          <w:rFonts w:ascii="Times New Roman" w:eastAsia="方正楷体_GBK" w:cs="Times New Roman" w:hAnsi="Times New Roman"/>
          <w:bCs w:val="0"/>
          <w:spacing w:val="-6"/>
          <w:kern w:val="2"/>
          <w:sz w:val="32"/>
          <w:szCs w:val="32"/>
        </w:rPr>
        <w:t>6.4其他事项</w:t>
      </w:r>
      <w:bookmarkEnd w:id="243"/>
      <w:bookmarkEnd w:id="244"/>
      <w:bookmarkEnd w:id="245"/>
      <w:bookmarkEnd w:id="246"/>
      <w:bookmarkEnd w:id="247"/>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依据《中华人民共和国反恐怖主义法》，海关发现恐怖活动嫌疑人员或者涉嫌恐怖活动物品的，应当依法扣留，并立即移送公安机关或者国家安全机关；海关在对进出境人员携带现金和无记名有价证券实施监管的过程中，发现涉嫌恐怖主义融资的，应当立即通报国务院反洗钱行政主管部门和有管辖权的公安机关。</w:t>
      </w:r>
    </w:p>
    <w:p>
      <w:pPr>
        <w:pStyle w:val="23"/>
        <w:spacing w:beforeLines="0" w:before="0" w:afterLines="0" w:after="0" w:line="560" w:lineRule="exact"/>
        <w:ind w:firstLineChars="200" w:firstLine="616"/>
        <w:rPr>
          <w:rFonts w:ascii="Times New Roman" w:eastAsia="方正仿宋_GBK" w:cs="Times New Roman" w:hAnsi="Times New Roman"/>
          <w:spacing w:val="-6"/>
          <w:sz w:val="32"/>
          <w:szCs w:val="32"/>
        </w:rPr>
      </w:pPr>
      <w:r>
        <w:rPr>
          <w:rFonts w:ascii="Times New Roman" w:eastAsia="方正仿宋_GBK" w:cs="Times New Roman" w:hAnsi="Times New Roman"/>
          <w:spacing w:val="-6"/>
          <w:sz w:val="32"/>
          <w:szCs w:val="32"/>
        </w:rPr>
        <w:t>涉及铁路恐怖袭击事件处置，由铁路部门和地方共同处置，相关海关予以支持配合。涉及民航、海上恐怖袭击事件处置，按照现有职责和机制由有关部门承担，相关海关予以支持配合。</w:t>
      </w:r>
    </w:p>
    <w:p>
      <w:pPr>
        <w:pStyle w:val="24"/>
        <w:spacing w:line="560" w:lineRule="exact"/>
        <w:ind w:firstLineChars="200" w:firstLine="616"/>
        <w:jc w:val="left"/>
        <w:outlineLvl w:val="9"/>
        <w:rPr>
          <w:rFonts w:eastAsia="方正黑体_GBK"/>
          <w:b w:val="0"/>
          <w:spacing w:val="-6"/>
          <w:sz w:val="32"/>
          <w:szCs w:val="32"/>
        </w:rPr>
      </w:pPr>
      <w:bookmarkStart w:id="248" w:name="_Toc15941459"/>
      <w:bookmarkStart w:id="249" w:name="_Toc7807"/>
      <w:bookmarkStart w:id="250" w:name="_Toc12668"/>
      <w:bookmarkStart w:id="251" w:name="_Toc15941232"/>
      <w:bookmarkStart w:id="252" w:name="_Toc15941289"/>
      <w:r>
        <w:rPr>
          <w:rFonts w:eastAsia="方正黑体_GBK"/>
          <w:b w:val="0"/>
          <w:spacing w:val="-6"/>
          <w:sz w:val="32"/>
          <w:szCs w:val="32"/>
        </w:rPr>
        <w:t>7附件</w:t>
      </w:r>
      <w:bookmarkEnd w:id="248"/>
      <w:bookmarkEnd w:id="249"/>
      <w:bookmarkEnd w:id="250"/>
      <w:bookmarkEnd w:id="251"/>
      <w:bookmarkEnd w:id="252"/>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253" w:name="_Toc15941460"/>
      <w:bookmarkStart w:id="254" w:name="_Toc17689"/>
      <w:bookmarkStart w:id="255" w:name="_Toc3025"/>
      <w:bookmarkStart w:id="256" w:name="_Toc15941233"/>
      <w:bookmarkStart w:id="257" w:name="_Toc15941290"/>
      <w:r>
        <w:rPr>
          <w:rFonts w:ascii="Times New Roman" w:eastAsia="方正楷体_GBK" w:cs="Times New Roman" w:hAnsi="Times New Roman"/>
          <w:bCs w:val="0"/>
          <w:spacing w:val="-6"/>
          <w:kern w:val="2"/>
          <w:sz w:val="32"/>
          <w:szCs w:val="32"/>
        </w:rPr>
        <w:t>7.1核生化重点排查事项表</w:t>
      </w:r>
      <w:bookmarkEnd w:id="253"/>
      <w:bookmarkEnd w:id="254"/>
      <w:bookmarkEnd w:id="255"/>
      <w:bookmarkEnd w:id="256"/>
      <w:bookmarkEnd w:id="257"/>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258" w:name="_Toc15941461"/>
      <w:bookmarkStart w:id="259" w:name="_Toc21820"/>
      <w:bookmarkStart w:id="260" w:name="_Toc22232"/>
      <w:bookmarkStart w:id="261" w:name="_Toc15941234"/>
      <w:bookmarkStart w:id="262" w:name="_Toc15941291"/>
      <w:r>
        <w:rPr>
          <w:rFonts w:ascii="Times New Roman" w:eastAsia="方正楷体_GBK" w:cs="Times New Roman" w:hAnsi="Times New Roman"/>
          <w:bCs w:val="0"/>
          <w:spacing w:val="-6"/>
          <w:kern w:val="2"/>
          <w:sz w:val="32"/>
          <w:szCs w:val="32"/>
        </w:rPr>
        <w:t>7.2恐怖袭击事件处置专业力量对应表</w:t>
      </w:r>
      <w:bookmarkEnd w:id="258"/>
      <w:bookmarkEnd w:id="259"/>
      <w:bookmarkEnd w:id="260"/>
      <w:bookmarkEnd w:id="261"/>
      <w:bookmarkEnd w:id="262"/>
    </w:p>
    <w:p>
      <w:pPr>
        <w:pStyle w:val="22"/>
        <w:keepNext/>
        <w:keepLines/>
        <w:widowControl w:val="0"/>
        <w:spacing w:before="0" w:beforeAutospacing="0" w:after="0" w:afterAutospacing="0" w:line="560" w:lineRule="exact"/>
        <w:ind w:firstLineChars="200" w:firstLine="616"/>
        <w:jc w:val="both"/>
        <w:outlineLvl w:val="9"/>
        <w:rPr>
          <w:rFonts w:ascii="Times New Roman" w:eastAsia="方正楷体_GBK" w:cs="Times New Roman" w:hAnsi="Times New Roman"/>
          <w:bCs w:val="0"/>
          <w:spacing w:val="-6"/>
          <w:kern w:val="2"/>
          <w:sz w:val="32"/>
          <w:szCs w:val="32"/>
        </w:rPr>
      </w:pPr>
      <w:bookmarkStart w:id="263" w:name="_Toc15941462"/>
      <w:bookmarkStart w:id="264" w:name="_Toc26159"/>
      <w:bookmarkStart w:id="265" w:name="_Toc8610"/>
      <w:bookmarkStart w:id="266" w:name="_Toc15941235"/>
      <w:bookmarkStart w:id="267" w:name="_Toc15941292"/>
      <w:r>
        <w:rPr>
          <w:rFonts w:ascii="Times New Roman" w:eastAsia="方正楷体_GBK" w:cs="Times New Roman" w:hAnsi="Times New Roman"/>
          <w:bCs w:val="0"/>
          <w:spacing w:val="-6"/>
          <w:kern w:val="2"/>
          <w:sz w:val="32"/>
          <w:szCs w:val="32"/>
        </w:rPr>
        <w:t>7.3海关口岸监管环节恐怖袭击事件应急工作流程图</w:t>
      </w:r>
      <w:bookmarkEnd w:id="263"/>
      <w:bookmarkEnd w:id="264"/>
      <w:bookmarkEnd w:id="265"/>
      <w:bookmarkEnd w:id="266"/>
      <w:bookmarkEnd w:id="267"/>
    </w:p>
    <w:p>
      <w:pPr>
        <w:pStyle w:val="20"/>
        <w:widowControl/>
        <w:spacing w:beforeLines="0" w:before="0" w:afterLines="0" w:after="0" w:line="240" w:lineRule="auto"/>
        <w:jc w:val="center"/>
        <w:rPr>
          <w:rFonts w:ascii="Times New Roman" w:eastAsia="方正小标宋_GBK" w:hAnsi="Times New Roman"/>
          <w:spacing w:val="-6"/>
          <w:kern w:val="0"/>
          <w:sz w:val="36"/>
          <w:szCs w:val="36"/>
        </w:rPr>
      </w:pPr>
      <w:r>
        <w:rPr>
          <w:rFonts w:ascii="Times New Roman" w:eastAsia="方正小标宋_GBK" w:cs="Times New Roman" w:hAnsi="Times New Roman" w:hint="eastAsia"/>
          <w:spacing w:val="-6"/>
          <w:sz w:val="44"/>
          <w:szCs w:val="44"/>
        </w:rPr>
        <w:br w:type="page"/>
      </w:r>
      <w:bookmarkStart w:id="268" w:name="_Toc78251372"/>
      <w:bookmarkStart w:id="269" w:name="_Toc47634519"/>
      <w:bookmarkStart w:id="270" w:name="_Toc47634545"/>
      <w:bookmarkStart w:id="271" w:name="_Toc25096759"/>
      <w:r>
        <w:rPr>
          <w:rFonts w:ascii="Times New Roman" w:eastAsia="方正小标宋_GBK" w:hAnsi="Times New Roman"/>
          <w:spacing w:val="-6"/>
          <w:kern w:val="0"/>
          <w:sz w:val="36"/>
          <w:szCs w:val="36"/>
        </w:rPr>
        <w:t>附件1：核生化重点排查事项表</w:t>
      </w:r>
      <w:bookmarkEnd w:id="268"/>
      <w:bookmarkEnd w:id="269"/>
      <w:bookmarkEnd w:id="270"/>
      <w:bookmarkEnd w:id="271"/>
    </w:p>
    <w:tbl>
      <w:tblPr>
        <w:tblpPr w:leftFromText="180" w:rightFromText="180" w:vertAnchor="text" w:horzAnchor="page" w:tblpXSpec="center" w:tblpY="567"/>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02"/>
        <w:gridCol w:w="5720"/>
      </w:tblGrid>
      <w:tr>
        <w:trPr>
          <w:tblHeader/>
        </w:trPr>
        <w:tc>
          <w:tcPr>
            <w:tcW w:w="2802" w:type="dxa"/>
            <w:tcBorders>
              <w:tl2br w:val="nil"/>
              <w:tr2bl w:val="nil"/>
            </w:tcBorders>
            <w:vAlign w:val="center"/>
          </w:tcPr>
          <w:p>
            <w:pPr>
              <w:pStyle w:val="27"/>
              <w:spacing w:beforeLines="0" w:before="0" w:afterLines="0" w:after="0" w:line="240" w:lineRule="auto"/>
              <w:jc w:val="center"/>
              <w:rPr>
                <w:rFonts w:ascii="Times New Roman" w:eastAsia="方正黑体_GBK" w:cs="Times New Roman" w:hAnsi="Times New Roman"/>
                <w:spacing w:val="-6"/>
                <w:kern w:val="0"/>
                <w:sz w:val="28"/>
                <w:szCs w:val="28"/>
                <w:lang w:eastAsia="en-US"/>
              </w:rPr>
            </w:pPr>
            <w:r>
              <w:rPr>
                <w:rFonts w:ascii="Times New Roman" w:eastAsia="方正黑体_GBK" w:cs="Times New Roman" w:hAnsi="Times New Roman"/>
                <w:spacing w:val="-6"/>
                <w:kern w:val="0"/>
                <w:sz w:val="28"/>
                <w:szCs w:val="28"/>
                <w:lang w:eastAsia="en-US"/>
              </w:rPr>
              <w:t>事件类型</w:t>
            </w:r>
          </w:p>
        </w:tc>
        <w:tc>
          <w:tcPr>
            <w:tcW w:w="5720" w:type="dxa"/>
            <w:tcBorders>
              <w:tl2br w:val="nil"/>
              <w:tr2bl w:val="nil"/>
            </w:tcBorders>
            <w:vAlign w:val="center"/>
          </w:tcPr>
          <w:p>
            <w:pPr>
              <w:pStyle w:val="27"/>
              <w:spacing w:beforeLines="0" w:before="0" w:afterLines="0" w:after="0" w:line="240" w:lineRule="auto"/>
              <w:jc w:val="center"/>
              <w:rPr>
                <w:rFonts w:ascii="Times New Roman" w:eastAsia="方正黑体_GBK" w:cs="Times New Roman" w:hAnsi="Times New Roman"/>
                <w:spacing w:val="-6"/>
                <w:kern w:val="0"/>
                <w:sz w:val="28"/>
                <w:szCs w:val="28"/>
              </w:rPr>
            </w:pPr>
            <w:r>
              <w:rPr>
                <w:rFonts w:ascii="Times New Roman" w:eastAsia="方正黑体_GBK" w:cs="Times New Roman" w:hAnsi="Times New Roman"/>
                <w:spacing w:val="-6"/>
                <w:kern w:val="0"/>
                <w:sz w:val="28"/>
                <w:szCs w:val="28"/>
                <w:lang w:eastAsia="en-US"/>
              </w:rPr>
              <w:t>需要</w:t>
            </w:r>
            <w:r>
              <w:rPr>
                <w:rFonts w:ascii="Times New Roman" w:eastAsia="方正黑体_GBK" w:cs="Times New Roman" w:hAnsi="Times New Roman"/>
                <w:spacing w:val="-6"/>
                <w:kern w:val="0"/>
                <w:sz w:val="28"/>
                <w:szCs w:val="28"/>
              </w:rPr>
              <w:t>重点排查</w:t>
            </w:r>
            <w:r>
              <w:rPr>
                <w:rFonts w:ascii="Times New Roman" w:eastAsia="方正黑体_GBK" w:cs="Times New Roman" w:hAnsi="Times New Roman"/>
                <w:spacing w:val="-6"/>
                <w:kern w:val="0"/>
                <w:sz w:val="28"/>
                <w:szCs w:val="28"/>
                <w:lang w:eastAsia="en-US"/>
              </w:rPr>
              <w:t>的</w:t>
            </w:r>
            <w:r>
              <w:rPr>
                <w:rFonts w:ascii="Times New Roman" w:eastAsia="方正黑体_GBK" w:cs="Times New Roman" w:hAnsi="Times New Roman"/>
                <w:spacing w:val="-6"/>
                <w:kern w:val="0"/>
                <w:sz w:val="28"/>
                <w:szCs w:val="28"/>
              </w:rPr>
              <w:t>事项</w:t>
            </w:r>
          </w:p>
        </w:tc>
      </w:tr>
      <w:tr>
        <w:tc>
          <w:tcPr>
            <w:tcW w:w="2802" w:type="dxa"/>
            <w:vMerge w:val="restart"/>
            <w:tcBorders>
              <w:tl2br w:val="nil"/>
              <w:tr2bl w:val="nil"/>
            </w:tcBorders>
            <w:vAlign w:val="center"/>
          </w:tcPr>
          <w:p>
            <w:pPr>
              <w:pStyle w:val="27"/>
              <w:spacing w:beforeLines="0" w:before="0" w:afterLines="0" w:after="0" w:line="240" w:lineRule="auto"/>
              <w:jc w:val="center"/>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lang w:eastAsia="en-US"/>
              </w:rPr>
              <w:t>核</w:t>
            </w:r>
            <w:r>
              <w:rPr>
                <w:rFonts w:ascii="Times New Roman" w:eastAsia="方正仿宋_GBK" w:cs="Times New Roman" w:hAnsi="Times New Roman"/>
                <w:spacing w:val="-6"/>
                <w:kern w:val="0"/>
                <w:sz w:val="28"/>
                <w:szCs w:val="28"/>
              </w:rPr>
              <w:t>与</w:t>
            </w:r>
            <w:r>
              <w:rPr>
                <w:rFonts w:ascii="Times New Roman" w:eastAsia="方正仿宋_GBK" w:cs="Times New Roman" w:hAnsi="Times New Roman"/>
                <w:spacing w:val="-6"/>
                <w:kern w:val="0"/>
                <w:sz w:val="28"/>
                <w:szCs w:val="28"/>
                <w:lang w:eastAsia="en-US"/>
              </w:rPr>
              <w:t>辐射</w:t>
            </w:r>
            <w:r>
              <w:rPr>
                <w:rFonts w:ascii="Times New Roman" w:eastAsia="方正仿宋_GBK" w:cs="Times New Roman" w:hAnsi="Times New Roman"/>
                <w:spacing w:val="-6"/>
                <w:kern w:val="0"/>
                <w:sz w:val="28"/>
                <w:szCs w:val="28"/>
              </w:rPr>
              <w:t>类</w:t>
            </w:r>
          </w:p>
        </w:tc>
        <w:tc>
          <w:tcPr>
            <w:tcW w:w="5720" w:type="dxa"/>
            <w:tcBorders>
              <w:tl2br w:val="nil"/>
              <w:tr2bl w:val="nil"/>
            </w:tcBorders>
          </w:tcPr>
          <w:p>
            <w:pPr>
              <w:pStyle w:val="27"/>
              <w:spacing w:beforeLines="0" w:before="0" w:afterLines="0" w:after="0" w:line="240" w:lineRule="auto"/>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1.发现核与辐射监测设备报警</w:t>
            </w:r>
          </w:p>
        </w:tc>
      </w:tr>
      <w:tr>
        <w:tc>
          <w:tcPr>
            <w:tcW w:w="2802" w:type="dxa"/>
            <w:vMerge/>
            <w:tcBorders>
              <w:tl2br w:val="nil"/>
              <w:tr2bl w:val="nil"/>
            </w:tcBorders>
          </w:tcPr>
          <w:p/>
        </w:tc>
        <w:tc>
          <w:tcPr>
            <w:tcW w:w="5720" w:type="dxa"/>
            <w:tcBorders>
              <w:tl2br w:val="nil"/>
              <w:tr2bl w:val="nil"/>
            </w:tcBorders>
          </w:tcPr>
          <w:p>
            <w:pPr>
              <w:pStyle w:val="27"/>
              <w:spacing w:beforeLines="0" w:before="0" w:afterLines="0" w:after="0" w:line="240" w:lineRule="auto"/>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2.申报入境的含有或夹带有放射性物质的物品</w:t>
            </w:r>
          </w:p>
        </w:tc>
      </w:tr>
      <w:tr>
        <w:tc>
          <w:tcPr>
            <w:tcW w:w="2802" w:type="dxa"/>
            <w:vMerge/>
            <w:tcBorders>
              <w:tl2br w:val="nil"/>
              <w:tr2bl w:val="nil"/>
            </w:tcBorders>
          </w:tcPr>
          <w:p/>
        </w:tc>
        <w:tc>
          <w:tcPr>
            <w:tcW w:w="5720" w:type="dxa"/>
            <w:tcBorders>
              <w:tl2br w:val="nil"/>
              <w:tr2bl w:val="nil"/>
            </w:tcBorders>
          </w:tcPr>
          <w:p>
            <w:pPr>
              <w:pStyle w:val="27"/>
              <w:spacing w:beforeLines="0" w:before="0" w:afterLines="0" w:after="0" w:line="240" w:lineRule="auto"/>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3.不能说明用途，或无明确收货人和发货人的可疑放射性物品</w:t>
            </w:r>
          </w:p>
        </w:tc>
      </w:tr>
      <w:tr>
        <w:tc>
          <w:tcPr>
            <w:tcW w:w="2802" w:type="dxa"/>
            <w:vMerge/>
            <w:tcBorders>
              <w:tl2br w:val="nil"/>
              <w:tr2bl w:val="nil"/>
            </w:tcBorders>
          </w:tcPr>
          <w:p/>
        </w:tc>
        <w:tc>
          <w:tcPr>
            <w:tcW w:w="5720" w:type="dxa"/>
            <w:tcBorders>
              <w:tl2br w:val="nil"/>
              <w:tr2bl w:val="nil"/>
            </w:tcBorders>
          </w:tcPr>
          <w:p>
            <w:pPr>
              <w:pStyle w:val="27"/>
              <w:spacing w:beforeLines="0" w:before="0" w:afterLines="0" w:after="0" w:line="240" w:lineRule="auto"/>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4.现场查验发现疑似容纳放射性物质密闭金属容器</w:t>
            </w:r>
          </w:p>
        </w:tc>
      </w:tr>
      <w:tr>
        <w:tc>
          <w:tcPr>
            <w:tcW w:w="2802" w:type="dxa"/>
            <w:vMerge w:val="restart"/>
            <w:tcBorders>
              <w:tl2br w:val="nil"/>
              <w:tr2bl w:val="nil"/>
            </w:tcBorders>
            <w:vAlign w:val="center"/>
          </w:tcPr>
          <w:p>
            <w:pPr>
              <w:pStyle w:val="27"/>
              <w:spacing w:beforeLines="0" w:before="0" w:afterLines="0" w:after="0" w:line="240" w:lineRule="auto"/>
              <w:jc w:val="center"/>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lang w:eastAsia="en-US"/>
              </w:rPr>
              <w:t>生物</w:t>
            </w:r>
            <w:r>
              <w:rPr>
                <w:rFonts w:ascii="Times New Roman" w:eastAsia="方正仿宋_GBK" w:cs="Times New Roman" w:hAnsi="Times New Roman"/>
                <w:spacing w:val="-6"/>
                <w:kern w:val="0"/>
                <w:sz w:val="28"/>
                <w:szCs w:val="28"/>
              </w:rPr>
              <w:t>类</w:t>
            </w:r>
          </w:p>
        </w:tc>
        <w:tc>
          <w:tcPr>
            <w:tcW w:w="5720" w:type="dxa"/>
            <w:tcBorders>
              <w:tl2br w:val="nil"/>
              <w:tr2bl w:val="nil"/>
            </w:tcBorders>
          </w:tcPr>
          <w:p>
            <w:pPr>
              <w:pStyle w:val="27"/>
              <w:spacing w:beforeLines="0" w:before="0" w:afterLines="0" w:after="0" w:line="240" w:lineRule="auto"/>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1.生物有害因子监测设备报警</w:t>
            </w:r>
          </w:p>
        </w:tc>
      </w:tr>
      <w:tr>
        <w:tc>
          <w:tcPr>
            <w:tcW w:w="2802" w:type="dxa"/>
            <w:vMerge/>
            <w:tcBorders>
              <w:tl2br w:val="nil"/>
              <w:tr2bl w:val="nil"/>
            </w:tcBorders>
          </w:tcPr>
          <w:p/>
        </w:tc>
        <w:tc>
          <w:tcPr>
            <w:tcW w:w="5720" w:type="dxa"/>
            <w:tcBorders>
              <w:tl2br w:val="nil"/>
              <w:tr2bl w:val="nil"/>
            </w:tcBorders>
          </w:tcPr>
          <w:p>
            <w:pPr>
              <w:pStyle w:val="27"/>
              <w:spacing w:beforeLines="0" w:before="0" w:afterLines="0" w:after="0" w:line="240" w:lineRule="auto"/>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2.出现不明原因或有明显异味的气雾、烟羽、液滴</w:t>
            </w:r>
          </w:p>
        </w:tc>
      </w:tr>
      <w:tr>
        <w:tc>
          <w:tcPr>
            <w:tcW w:w="2802" w:type="dxa"/>
            <w:vMerge/>
            <w:tcBorders>
              <w:tl2br w:val="nil"/>
              <w:tr2bl w:val="nil"/>
            </w:tcBorders>
          </w:tcPr>
          <w:p/>
        </w:tc>
        <w:tc>
          <w:tcPr>
            <w:tcW w:w="5720" w:type="dxa"/>
            <w:tcBorders>
              <w:tl2br w:val="nil"/>
              <w:tr2bl w:val="nil"/>
            </w:tcBorders>
          </w:tcPr>
          <w:p>
            <w:pPr>
              <w:pStyle w:val="27"/>
              <w:spacing w:beforeLines="0" w:before="0" w:afterLines="0" w:after="0" w:line="240" w:lineRule="auto"/>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3.发现可疑白色粉末、培养物或液体释放装置（如注射器等）、气体释放装置或其他可疑容器</w:t>
            </w:r>
          </w:p>
        </w:tc>
      </w:tr>
      <w:tr>
        <w:tc>
          <w:tcPr>
            <w:tcW w:w="2802" w:type="dxa"/>
            <w:vMerge/>
            <w:tcBorders>
              <w:tl2br w:val="nil"/>
              <w:tr2bl w:val="nil"/>
            </w:tcBorders>
          </w:tcPr>
          <w:p/>
        </w:tc>
        <w:tc>
          <w:tcPr>
            <w:tcW w:w="5720" w:type="dxa"/>
            <w:tcBorders>
              <w:tl2br w:val="nil"/>
              <w:tr2bl w:val="nil"/>
            </w:tcBorders>
          </w:tcPr>
          <w:p>
            <w:pPr>
              <w:pStyle w:val="27"/>
              <w:spacing w:beforeLines="0" w:before="0" w:afterLines="0" w:after="0" w:line="240" w:lineRule="auto"/>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4.同时出现多例异常发病或死亡的人员具有相同或相似症状和体征的</w:t>
            </w:r>
          </w:p>
        </w:tc>
      </w:tr>
      <w:tr>
        <w:tc>
          <w:tcPr>
            <w:tcW w:w="2802" w:type="dxa"/>
            <w:vMerge/>
            <w:tcBorders>
              <w:tl2br w:val="nil"/>
              <w:tr2bl w:val="nil"/>
            </w:tcBorders>
          </w:tcPr>
          <w:p/>
        </w:tc>
        <w:tc>
          <w:tcPr>
            <w:tcW w:w="5720" w:type="dxa"/>
            <w:tcBorders>
              <w:tl2br w:val="nil"/>
              <w:tr2bl w:val="nil"/>
            </w:tcBorders>
          </w:tcPr>
          <w:p>
            <w:pPr>
              <w:pStyle w:val="27"/>
              <w:spacing w:beforeLines="0" w:before="0" w:afterLines="0" w:after="0" w:line="240" w:lineRule="auto"/>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5.同时出现大量不明原因的异常发病或死亡的动物</w:t>
            </w:r>
          </w:p>
        </w:tc>
      </w:tr>
      <w:tr>
        <w:tc>
          <w:tcPr>
            <w:tcW w:w="2802" w:type="dxa"/>
            <w:vMerge/>
            <w:tcBorders>
              <w:tl2br w:val="nil"/>
              <w:tr2bl w:val="nil"/>
            </w:tcBorders>
          </w:tcPr>
          <w:p/>
        </w:tc>
        <w:tc>
          <w:tcPr>
            <w:tcW w:w="5720" w:type="dxa"/>
            <w:tcBorders>
              <w:tl2br w:val="nil"/>
              <w:tr2bl w:val="nil"/>
            </w:tcBorders>
          </w:tcPr>
          <w:p>
            <w:pPr>
              <w:pStyle w:val="27"/>
              <w:spacing w:beforeLines="0" w:before="0" w:afterLines="0" w:after="0" w:line="240" w:lineRule="auto"/>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6.口岸区域内突然出现的媒介生物密度严重超出控制标准或多起啮齿动物异常死亡，且无明显原因的</w:t>
            </w:r>
          </w:p>
        </w:tc>
      </w:tr>
      <w:tr>
        <w:tc>
          <w:tcPr>
            <w:tcW w:w="2802" w:type="dxa"/>
            <w:vMerge w:val="restart"/>
            <w:tcBorders>
              <w:tl2br w:val="nil"/>
              <w:tr2bl w:val="nil"/>
            </w:tcBorders>
            <w:vAlign w:val="center"/>
          </w:tcPr>
          <w:p>
            <w:pPr>
              <w:pStyle w:val="27"/>
              <w:spacing w:beforeLines="0" w:before="0" w:afterLines="0" w:after="0" w:line="240" w:lineRule="auto"/>
              <w:jc w:val="center"/>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lang w:eastAsia="en-US"/>
              </w:rPr>
              <w:t>化学</w:t>
            </w:r>
            <w:r>
              <w:rPr>
                <w:rFonts w:ascii="Times New Roman" w:eastAsia="方正仿宋_GBK" w:cs="Times New Roman" w:hAnsi="Times New Roman"/>
                <w:spacing w:val="-6"/>
                <w:kern w:val="0"/>
                <w:sz w:val="28"/>
                <w:szCs w:val="28"/>
              </w:rPr>
              <w:t>类</w:t>
            </w:r>
          </w:p>
        </w:tc>
        <w:tc>
          <w:tcPr>
            <w:tcW w:w="5720" w:type="dxa"/>
            <w:tcBorders>
              <w:tl2br w:val="nil"/>
              <w:tr2bl w:val="nil"/>
            </w:tcBorders>
          </w:tcPr>
          <w:p>
            <w:pPr>
              <w:pStyle w:val="27"/>
              <w:spacing w:beforeLines="0" w:before="0" w:afterLines="0" w:after="0" w:line="240" w:lineRule="auto"/>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1.现场监测化学毒物、爆炸物、腐蚀性物质、氧化性物质浓度的仪器报警</w:t>
            </w:r>
          </w:p>
        </w:tc>
      </w:tr>
      <w:tr>
        <w:trPr>
          <w:trHeight w:val="488"/>
        </w:trPr>
        <w:tc>
          <w:tcPr>
            <w:tcW w:w="2802" w:type="dxa"/>
            <w:vMerge/>
            <w:tcBorders>
              <w:tl2br w:val="nil"/>
              <w:tr2bl w:val="nil"/>
            </w:tcBorders>
          </w:tcPr>
          <w:p/>
        </w:tc>
        <w:tc>
          <w:tcPr>
            <w:tcW w:w="5720" w:type="dxa"/>
            <w:tcBorders>
              <w:tl2br w:val="nil"/>
              <w:tr2bl w:val="nil"/>
            </w:tcBorders>
          </w:tcPr>
          <w:p>
            <w:pPr>
              <w:pStyle w:val="27"/>
              <w:spacing w:beforeLines="0" w:before="0" w:afterLines="0" w:after="0" w:line="240" w:lineRule="auto"/>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2.不明原因的气、雾、烟、粉尘或液滴，或异常气味</w:t>
            </w:r>
          </w:p>
        </w:tc>
      </w:tr>
      <w:tr>
        <w:tc>
          <w:tcPr>
            <w:tcW w:w="2802" w:type="dxa"/>
            <w:vMerge/>
            <w:tcBorders>
              <w:tl2br w:val="nil"/>
              <w:tr2bl w:val="nil"/>
            </w:tcBorders>
          </w:tcPr>
          <w:p/>
        </w:tc>
        <w:tc>
          <w:tcPr>
            <w:tcW w:w="5720" w:type="dxa"/>
            <w:tcBorders>
              <w:tl2br w:val="nil"/>
              <w:tr2bl w:val="nil"/>
            </w:tcBorders>
          </w:tcPr>
          <w:p>
            <w:pPr>
              <w:pStyle w:val="27"/>
              <w:spacing w:beforeLines="0" w:before="0" w:afterLines="0" w:after="0" w:line="240" w:lineRule="auto"/>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3.可疑粉末或晶体、无色或淡黄色油状液体，或其他可疑化学品，且未能说明用途的</w:t>
            </w:r>
          </w:p>
        </w:tc>
      </w:tr>
      <w:tr>
        <w:tc>
          <w:tcPr>
            <w:tcW w:w="2802" w:type="dxa"/>
            <w:vMerge/>
            <w:tcBorders>
              <w:tl2br w:val="nil"/>
              <w:tr2bl w:val="nil"/>
            </w:tcBorders>
          </w:tcPr>
          <w:p/>
        </w:tc>
        <w:tc>
          <w:tcPr>
            <w:tcW w:w="5720" w:type="dxa"/>
            <w:tcBorders>
              <w:tl2br w:val="nil"/>
              <w:tr2bl w:val="nil"/>
            </w:tcBorders>
          </w:tcPr>
          <w:p>
            <w:pPr>
              <w:pStyle w:val="27"/>
              <w:spacing w:beforeLines="0" w:before="0" w:afterLines="0" w:after="0" w:line="240" w:lineRule="auto"/>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4.可疑的装有少量液体或固体粉末的小容器、小型注射器等、装有不明用途液体的塑料袋</w:t>
            </w:r>
          </w:p>
        </w:tc>
      </w:tr>
      <w:tr>
        <w:tc>
          <w:tcPr>
            <w:tcW w:w="2802" w:type="dxa"/>
            <w:vMerge/>
            <w:tcBorders>
              <w:tl2br w:val="nil"/>
              <w:tr2bl w:val="nil"/>
            </w:tcBorders>
          </w:tcPr>
          <w:p/>
        </w:tc>
        <w:tc>
          <w:tcPr>
            <w:tcW w:w="5720" w:type="dxa"/>
            <w:tcBorders>
              <w:tl2br w:val="nil"/>
              <w:tr2bl w:val="nil"/>
            </w:tcBorders>
          </w:tcPr>
          <w:p>
            <w:pPr>
              <w:pStyle w:val="27"/>
              <w:spacing w:beforeLines="0" w:before="0" w:afterLines="0" w:after="0" w:line="240" w:lineRule="auto"/>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5.现场发现具有化学毒剂、爆炸物、腐蚀性物质相似理化特征的物质</w:t>
            </w:r>
          </w:p>
        </w:tc>
      </w:tr>
    </w:tbl>
    <w:p>
      <w:pPr>
        <w:pStyle w:val="28"/>
        <w:spacing w:line="240" w:lineRule="auto"/>
        <w:ind w:firstLineChars="0" w:firstLine="0"/>
        <w:jc w:val="center"/>
      </w:pPr>
    </w:p>
    <w:p>
      <w:pPr>
        <w:pStyle w:val="28"/>
        <w:spacing w:line="240" w:lineRule="auto"/>
        <w:ind w:firstLineChars="0" w:firstLine="0"/>
      </w:pPr>
    </w:p>
    <w:p>
      <w:pPr>
        <w:pStyle w:val="29"/>
        <w:spacing w:line="240" w:lineRule="auto"/>
        <w:jc w:val="center"/>
        <w:rPr>
          <w:rFonts w:eastAsia="方正小标宋_GBK"/>
          <w:b w:val="0"/>
          <w:spacing w:val="-6"/>
          <w:kern w:val="0"/>
          <w:sz w:val="36"/>
          <w:szCs w:val="36"/>
        </w:rPr>
      </w:pPr>
      <w:bookmarkStart w:id="272" w:name="_Toc78251373"/>
      <w:bookmarkStart w:id="273" w:name="_Toc8939"/>
      <w:bookmarkStart w:id="274" w:name="_Toc19650"/>
      <w:bookmarkStart w:id="275" w:name="_Toc25096760"/>
      <w:bookmarkStart w:id="276" w:name="_Toc15941237"/>
      <w:bookmarkStart w:id="277" w:name="_Toc15941294"/>
      <w:bookmarkStart w:id="278" w:name="_Toc15941464"/>
      <w:bookmarkStart w:id="279" w:name="_Toc47634520"/>
      <w:bookmarkStart w:id="280" w:name="_Toc47634546"/>
      <w:r>
        <w:rPr>
          <w:rFonts w:eastAsia="方正小标宋_GBK"/>
          <w:b w:val="0"/>
          <w:spacing w:val="-6"/>
          <w:kern w:val="0"/>
          <w:sz w:val="36"/>
          <w:szCs w:val="36"/>
        </w:rPr>
        <w:br w:type="page"/>
        <w:t>附件2：恐怖袭击事件处置专业力量对应表</w:t>
      </w:r>
      <w:bookmarkEnd w:id="272"/>
      <w:bookmarkEnd w:id="273"/>
      <w:bookmarkEnd w:id="274"/>
      <w:bookmarkEnd w:id="275"/>
      <w:bookmarkEnd w:id="276"/>
      <w:bookmarkEnd w:id="277"/>
      <w:bookmarkEnd w:id="278"/>
      <w:bookmarkEnd w:id="279"/>
      <w:bookmarkEnd w:id="280"/>
    </w:p>
    <w:p>
      <w:pPr>
        <w:pStyle w:val="29"/>
        <w:spacing w:line="560" w:lineRule="exact"/>
        <w:rPr>
          <w:rFonts w:eastAsia="方正小标宋_GBK"/>
          <w:b w:val="0"/>
          <w:spacing w:val="-6"/>
          <w:kern w:val="0"/>
          <w:sz w:val="36"/>
          <w:szCs w:val="36"/>
        </w:rPr>
      </w:pPr>
    </w:p>
    <w:tbl>
      <w:tblPr>
        <w:jc w:val="cent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794"/>
        <w:gridCol w:w="4728"/>
      </w:tblGrid>
      <w:tr>
        <w:tc>
          <w:tcPr>
            <w:tcW w:w="3794" w:type="dxa"/>
            <w:tcBorders>
              <w:tl2br w:val="nil"/>
              <w:tr2bl w:val="nil"/>
            </w:tcBorders>
            <w:vAlign w:val="center"/>
          </w:tcPr>
          <w:p>
            <w:pPr>
              <w:pStyle w:val="30"/>
              <w:spacing w:beforeLines="0" w:before="0" w:afterLines="0" w:after="0" w:line="560" w:lineRule="exact"/>
              <w:jc w:val="center"/>
              <w:rPr>
                <w:rFonts w:ascii="Times New Roman" w:eastAsia="方正黑体_GBK" w:cs="Times New Roman" w:hAnsi="Times New Roman"/>
                <w:spacing w:val="-6"/>
                <w:kern w:val="0"/>
                <w:sz w:val="28"/>
                <w:szCs w:val="28"/>
              </w:rPr>
            </w:pPr>
            <w:r>
              <w:rPr>
                <w:rFonts w:ascii="Times New Roman" w:eastAsia="方正黑体_GBK" w:cs="Times New Roman" w:hAnsi="Times New Roman"/>
                <w:spacing w:val="-6"/>
                <w:kern w:val="0"/>
                <w:sz w:val="28"/>
                <w:szCs w:val="28"/>
              </w:rPr>
              <w:t>口岸监管环节恐怖</w:t>
            </w:r>
          </w:p>
          <w:p>
            <w:pPr>
              <w:pStyle w:val="30"/>
              <w:spacing w:beforeLines="0" w:before="0" w:afterLines="0" w:after="0" w:line="560" w:lineRule="exact"/>
              <w:jc w:val="center"/>
              <w:rPr>
                <w:rFonts w:ascii="Times New Roman" w:eastAsia="方正黑体_GBK" w:cs="Times New Roman" w:hAnsi="Times New Roman"/>
                <w:spacing w:val="-6"/>
                <w:kern w:val="0"/>
                <w:sz w:val="28"/>
                <w:szCs w:val="28"/>
              </w:rPr>
            </w:pPr>
            <w:r>
              <w:rPr>
                <w:rFonts w:ascii="Times New Roman" w:eastAsia="方正黑体_GBK" w:cs="Times New Roman" w:hAnsi="Times New Roman"/>
                <w:spacing w:val="-6"/>
                <w:kern w:val="0"/>
                <w:sz w:val="28"/>
                <w:szCs w:val="28"/>
              </w:rPr>
              <w:t>袭击事件类型</w:t>
            </w:r>
          </w:p>
        </w:tc>
        <w:tc>
          <w:tcPr>
            <w:tcW w:w="4728" w:type="dxa"/>
            <w:tcBorders>
              <w:tl2br w:val="nil"/>
              <w:tr2bl w:val="nil"/>
            </w:tcBorders>
            <w:vAlign w:val="center"/>
          </w:tcPr>
          <w:p>
            <w:pPr>
              <w:pStyle w:val="30"/>
              <w:spacing w:beforeLines="0" w:before="0" w:afterLines="0" w:after="0" w:line="560" w:lineRule="exact"/>
              <w:jc w:val="center"/>
              <w:rPr>
                <w:rFonts w:ascii="Times New Roman" w:eastAsia="方正黑体_GBK" w:cs="Times New Roman" w:hAnsi="Times New Roman"/>
                <w:spacing w:val="-6"/>
                <w:kern w:val="0"/>
                <w:sz w:val="28"/>
                <w:szCs w:val="28"/>
                <w:lang w:eastAsia="en-US"/>
              </w:rPr>
            </w:pPr>
            <w:r>
              <w:rPr>
                <w:rFonts w:ascii="Times New Roman" w:eastAsia="方正黑体_GBK" w:cs="Times New Roman" w:hAnsi="Times New Roman"/>
                <w:spacing w:val="-6"/>
                <w:kern w:val="0"/>
                <w:sz w:val="28"/>
                <w:szCs w:val="28"/>
                <w:lang w:eastAsia="en-US"/>
              </w:rPr>
              <w:t>对应的</w:t>
            </w:r>
            <w:r>
              <w:rPr>
                <w:rFonts w:ascii="Times New Roman" w:eastAsia="方正黑体_GBK" w:cs="Times New Roman" w:hAnsi="Times New Roman"/>
                <w:spacing w:val="-6"/>
                <w:kern w:val="0"/>
                <w:sz w:val="28"/>
                <w:szCs w:val="28"/>
              </w:rPr>
              <w:t>处置</w:t>
            </w:r>
            <w:r>
              <w:rPr>
                <w:rFonts w:ascii="Times New Roman" w:eastAsia="方正黑体_GBK" w:cs="Times New Roman" w:hAnsi="Times New Roman"/>
                <w:spacing w:val="-6"/>
                <w:kern w:val="0"/>
                <w:sz w:val="28"/>
                <w:szCs w:val="28"/>
                <w:lang w:eastAsia="en-US"/>
              </w:rPr>
              <w:t>专业力量</w:t>
            </w:r>
          </w:p>
        </w:tc>
      </w:tr>
      <w:tr>
        <w:tc>
          <w:tcPr>
            <w:tcW w:w="3794" w:type="dxa"/>
            <w:tcBorders>
              <w:tl2br w:val="nil"/>
              <w:tr2bl w:val="nil"/>
            </w:tcBorders>
            <w:vAlign w:val="center"/>
          </w:tcPr>
          <w:p>
            <w:pPr>
              <w:pStyle w:val="30"/>
              <w:spacing w:beforeLines="0" w:before="0" w:afterLines="0" w:after="0" w:line="560" w:lineRule="exact"/>
              <w:jc w:val="center"/>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核和辐射恐怖袭击事件</w:t>
            </w:r>
          </w:p>
        </w:tc>
        <w:tc>
          <w:tcPr>
            <w:tcW w:w="4728" w:type="dxa"/>
            <w:tcBorders>
              <w:tl2br w:val="nil"/>
              <w:tr2bl w:val="nil"/>
            </w:tcBorders>
          </w:tcPr>
          <w:p>
            <w:pPr>
              <w:pStyle w:val="30"/>
              <w:spacing w:beforeLines="0" w:before="0" w:afterLines="0" w:after="0" w:line="560" w:lineRule="exact"/>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公安、生态环境、工业和信息化、国防科工、卫生健康等部门和军队、武警</w:t>
            </w:r>
          </w:p>
        </w:tc>
      </w:tr>
      <w:tr>
        <w:tc>
          <w:tcPr>
            <w:tcW w:w="3794" w:type="dxa"/>
            <w:tcBorders>
              <w:tl2br w:val="nil"/>
              <w:tr2bl w:val="nil"/>
            </w:tcBorders>
            <w:vAlign w:val="center"/>
          </w:tcPr>
          <w:p>
            <w:pPr>
              <w:pStyle w:val="30"/>
              <w:spacing w:beforeLines="0" w:before="0" w:afterLines="0" w:after="0" w:line="560" w:lineRule="exact"/>
              <w:jc w:val="center"/>
              <w:rPr>
                <w:rFonts w:ascii="Times New Roman" w:eastAsia="方正仿宋_GBK" w:cs="Times New Roman" w:hAnsi="Times New Roman"/>
                <w:spacing w:val="-6"/>
                <w:kern w:val="0"/>
                <w:sz w:val="28"/>
                <w:szCs w:val="28"/>
                <w:lang w:eastAsia="en-US"/>
              </w:rPr>
            </w:pPr>
            <w:r>
              <w:rPr>
                <w:rFonts w:ascii="Times New Roman" w:eastAsia="方正仿宋_GBK" w:cs="Times New Roman" w:hAnsi="Times New Roman"/>
                <w:spacing w:val="-6"/>
                <w:kern w:val="0"/>
                <w:sz w:val="28"/>
                <w:szCs w:val="28"/>
                <w:lang w:eastAsia="en-US"/>
              </w:rPr>
              <w:t>生物恐怖袭击事件</w:t>
            </w:r>
          </w:p>
        </w:tc>
        <w:tc>
          <w:tcPr>
            <w:tcW w:w="4728" w:type="dxa"/>
            <w:tcBorders>
              <w:tl2br w:val="nil"/>
              <w:tr2bl w:val="nil"/>
            </w:tcBorders>
          </w:tcPr>
          <w:p>
            <w:pPr>
              <w:pStyle w:val="30"/>
              <w:spacing w:beforeLines="0" w:before="0" w:afterLines="0" w:after="0" w:line="560" w:lineRule="exact"/>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公安、卫生健康等部门和军队、武警</w:t>
            </w:r>
          </w:p>
        </w:tc>
      </w:tr>
      <w:tr>
        <w:tc>
          <w:tcPr>
            <w:tcW w:w="3794" w:type="dxa"/>
            <w:tcBorders>
              <w:tl2br w:val="nil"/>
              <w:tr2bl w:val="nil"/>
            </w:tcBorders>
            <w:vAlign w:val="center"/>
          </w:tcPr>
          <w:p>
            <w:pPr>
              <w:pStyle w:val="30"/>
              <w:spacing w:beforeLines="0" w:before="0" w:afterLines="0" w:after="0" w:line="560" w:lineRule="exact"/>
              <w:jc w:val="center"/>
              <w:rPr>
                <w:rFonts w:ascii="Times New Roman" w:eastAsia="方正仿宋_GBK" w:cs="Times New Roman" w:hAnsi="Times New Roman"/>
                <w:spacing w:val="-6"/>
                <w:kern w:val="0"/>
                <w:sz w:val="28"/>
                <w:szCs w:val="28"/>
                <w:lang w:eastAsia="en-US"/>
              </w:rPr>
            </w:pPr>
            <w:r>
              <w:rPr>
                <w:rFonts w:ascii="Times New Roman" w:eastAsia="方正仿宋_GBK" w:cs="Times New Roman" w:hAnsi="Times New Roman"/>
                <w:spacing w:val="-6"/>
                <w:kern w:val="0"/>
                <w:sz w:val="28"/>
                <w:szCs w:val="28"/>
                <w:lang w:eastAsia="en-US"/>
              </w:rPr>
              <w:t>化学恐怖袭击事件</w:t>
            </w:r>
          </w:p>
        </w:tc>
        <w:tc>
          <w:tcPr>
            <w:tcW w:w="4728" w:type="dxa"/>
            <w:tcBorders>
              <w:tl2br w:val="nil"/>
              <w:tr2bl w:val="nil"/>
            </w:tcBorders>
          </w:tcPr>
          <w:p>
            <w:pPr>
              <w:pStyle w:val="30"/>
              <w:spacing w:beforeLines="0" w:before="0" w:afterLines="0" w:after="0" w:line="560" w:lineRule="exact"/>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公安、生态环境、卫生健康、应急管理等部门和军队、武警</w:t>
            </w:r>
          </w:p>
        </w:tc>
      </w:tr>
      <w:tr>
        <w:tc>
          <w:tcPr>
            <w:tcW w:w="3794" w:type="dxa"/>
            <w:tcBorders>
              <w:tl2br w:val="nil"/>
              <w:tr2bl w:val="nil"/>
            </w:tcBorders>
            <w:vAlign w:val="center"/>
          </w:tcPr>
          <w:p>
            <w:pPr>
              <w:pStyle w:val="30"/>
              <w:spacing w:beforeLines="0" w:before="0" w:afterLines="0" w:after="0" w:line="560" w:lineRule="exact"/>
              <w:jc w:val="center"/>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砍杀冲撞类恐怖袭击事件</w:t>
            </w:r>
          </w:p>
        </w:tc>
        <w:tc>
          <w:tcPr>
            <w:tcW w:w="4728" w:type="dxa"/>
            <w:tcBorders>
              <w:tl2br w:val="nil"/>
              <w:tr2bl w:val="nil"/>
            </w:tcBorders>
          </w:tcPr>
          <w:p>
            <w:pPr>
              <w:pStyle w:val="30"/>
              <w:spacing w:beforeLines="0" w:before="0" w:afterLines="0" w:after="0" w:line="560" w:lineRule="exact"/>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公安、卫生健康等部门和军队、武警</w:t>
            </w:r>
          </w:p>
        </w:tc>
      </w:tr>
      <w:tr>
        <w:tc>
          <w:tcPr>
            <w:tcW w:w="3794" w:type="dxa"/>
            <w:tcBorders>
              <w:tl2br w:val="nil"/>
              <w:tr2bl w:val="nil"/>
            </w:tcBorders>
            <w:vAlign w:val="center"/>
          </w:tcPr>
          <w:p>
            <w:pPr>
              <w:pStyle w:val="30"/>
              <w:spacing w:beforeLines="0" w:before="0" w:afterLines="0" w:after="0" w:line="560" w:lineRule="exact"/>
              <w:jc w:val="center"/>
              <w:rPr>
                <w:rFonts w:ascii="Times New Roman" w:eastAsia="方正仿宋_GBK" w:cs="Times New Roman" w:hAnsi="Times New Roman"/>
                <w:spacing w:val="-6"/>
                <w:kern w:val="0"/>
                <w:sz w:val="28"/>
                <w:szCs w:val="28"/>
                <w:lang w:eastAsia="en-US"/>
              </w:rPr>
            </w:pPr>
            <w:r>
              <w:rPr>
                <w:rFonts w:ascii="Times New Roman" w:eastAsia="方正仿宋_GBK" w:cs="Times New Roman" w:hAnsi="Times New Roman"/>
                <w:spacing w:val="-6"/>
                <w:kern w:val="0"/>
                <w:sz w:val="28"/>
                <w:szCs w:val="28"/>
                <w:lang w:eastAsia="en-US"/>
              </w:rPr>
              <w:t>劫持类恐怖袭击事件</w:t>
            </w:r>
          </w:p>
        </w:tc>
        <w:tc>
          <w:tcPr>
            <w:tcW w:w="4728" w:type="dxa"/>
            <w:tcBorders>
              <w:tl2br w:val="nil"/>
              <w:tr2bl w:val="nil"/>
            </w:tcBorders>
          </w:tcPr>
          <w:p>
            <w:pPr>
              <w:pStyle w:val="30"/>
              <w:spacing w:beforeLines="0" w:before="0" w:afterLines="0" w:after="0" w:line="560" w:lineRule="exact"/>
              <w:rPr>
                <w:rFonts w:ascii="Times New Roman" w:eastAsia="方正仿宋_GBK" w:cs="Times New Roman" w:hAnsi="Times New Roman"/>
                <w:spacing w:val="-6"/>
                <w:kern w:val="0"/>
                <w:sz w:val="28"/>
                <w:szCs w:val="28"/>
              </w:rPr>
            </w:pPr>
            <w:r>
              <w:rPr>
                <w:rFonts w:ascii="Times New Roman" w:eastAsia="方正仿宋_GBK" w:cs="Times New Roman" w:hAnsi="Times New Roman"/>
                <w:spacing w:val="-6"/>
                <w:kern w:val="0"/>
                <w:sz w:val="28"/>
                <w:szCs w:val="28"/>
              </w:rPr>
              <w:t>公安、卫生健康等部门和军队、武警</w:t>
            </w:r>
          </w:p>
        </w:tc>
      </w:tr>
    </w:tbl>
    <w:p>
      <w:pPr>
        <w:pStyle w:val="28"/>
        <w:spacing w:line="560" w:lineRule="exact"/>
        <w:ind w:firstLineChars="0" w:firstLine="0"/>
        <w:jc w:val="center"/>
      </w:pPr>
    </w:p>
    <w:p>
      <w:pPr>
        <w:pStyle w:val="28"/>
        <w:spacing w:line="560" w:lineRule="exact"/>
        <w:ind w:firstLineChars="0" w:firstLine="0"/>
        <w:jc w:val="center"/>
        <w:rPr>
          <w:rFonts w:eastAsia="方正小标宋_GBK"/>
          <w:spacing w:val="-6"/>
          <w:kern w:val="0"/>
          <w:sz w:val="36"/>
          <w:szCs w:val="36"/>
        </w:rPr>
      </w:pPr>
      <w:bookmarkStart w:id="281" w:name="_Toc15941465"/>
      <w:bookmarkStart w:id="282" w:name="_Toc13376"/>
      <w:bookmarkStart w:id="283" w:name="_Toc7013"/>
      <w:bookmarkStart w:id="284" w:name="_Toc15941238"/>
      <w:bookmarkStart w:id="285" w:name="_Toc15941295"/>
      <w:r>
        <w:rPr>
          <w:rFonts w:eastAsia="方正小标宋_GBK"/>
          <w:spacing w:val="-6"/>
          <w:kern w:val="0"/>
          <w:sz w:val="36"/>
          <w:szCs w:val="36"/>
        </w:rPr>
        <w:br w:type="page"/>
        <w:t>附件3：海关口岸监管环节恐怖袭击事件应急工作流程图</w:t>
      </w:r>
      <w:bookmarkEnd w:id="281"/>
      <w:bookmarkEnd w:id="282"/>
      <w:bookmarkEnd w:id="283"/>
      <w:bookmarkEnd w:id="284"/>
      <w:bookmarkEnd w:id="285"/>
    </w:p>
    <w:p>
      <w:pPr>
        <w:pStyle w:val="28"/>
        <w:spacing w:line="560" w:lineRule="exact"/>
        <w:ind w:firstLineChars="0" w:firstLine="0"/>
        <w:jc w:val="center"/>
      </w:pPr>
      <w:r>
        <w:drawing>
          <wp:anchor distT="0" distB="0" distL="85723" distR="85723" simplePos="0" relativeHeight="10" behindDoc="0" locked="0" layoutInCell="1" hidden="0" allowOverlap="1">
            <wp:simplePos x="0" y="0"/>
            <wp:positionH relativeFrom="column">
              <wp:posOffset>133347</wp:posOffset>
            </wp:positionH>
            <wp:positionV relativeFrom="paragraph">
              <wp:posOffset>211451</wp:posOffset>
            </wp:positionV>
            <wp:extent cx="5482590" cy="4051934"/>
            <wp:effectExtent l="0" t="0" r="0" b="0"/>
            <wp:wrapNone/>
            <wp:docPr id="1" name="图片 1"/>
            <wp:cNvGraphicFramePr>
              <a:graphicFrameLocks noChangeAspect="1"/>
            </wp:cNvGraphicFramePr>
            <a:graphic>
              <a:graphicData uri="http://schemas.openxmlformats.org/drawingml/2006/picture">
                <pic:pic>
                  <pic:nvPicPr>
                    <pic:cNvPr id="3" name="图片 3"/>
                    <pic:cNvPicPr/>
                  </pic:nvPicPr>
                  <pic:blipFill>
                    <a:blip r:embed="rId4"/>
                    <a:stretch>
                      <a:fillRect/>
                    </a:stretch>
                  </pic:blipFill>
                  <pic:spPr>
                    <a:xfrm rot="0">
                      <a:off x="0" y="0"/>
                      <a:ext cx="5482590" cy="4051934"/>
                    </a:xfrm>
                    <a:prstGeom prst="rect"/>
                    <a:noFill/>
                    <a:ln w="9525" cmpd="sng" cap="flat">
                      <a:noFill/>
                      <a:prstDash val="solid"/>
                      <a:miter/>
                    </a:ln>
                  </pic:spPr>
                </pic:pic>
              </a:graphicData>
            </a:graphic>
          </wp:anchor>
        </w:drawing>
      </w:r>
    </w:p>
    <w:p>
      <w:pPr>
        <w:pStyle w:val="28"/>
        <w:spacing w:line="560" w:lineRule="exact"/>
        <w:ind w:firstLineChars="0" w:firstLine="0"/>
        <w:jc w:val="center"/>
      </w:pPr>
    </w:p>
    <w:p>
      <w:pPr>
        <w:pStyle w:val="28"/>
        <w:spacing w:line="560" w:lineRule="exact"/>
        <w:ind w:firstLineChars="0" w:firstLine="0"/>
        <w:jc w:val="center"/>
      </w:pPr>
    </w:p>
    <w:p>
      <w:pPr>
        <w:pStyle w:val="28"/>
        <w:spacing w:line="560" w:lineRule="exact"/>
        <w:ind w:firstLineChars="0" w:firstLine="0"/>
        <w:jc w:val="center"/>
      </w:pPr>
    </w:p>
    <w:p>
      <w:pPr>
        <w:pStyle w:val="28"/>
        <w:spacing w:line="560" w:lineRule="exact"/>
        <w:ind w:firstLineChars="0" w:firstLine="0"/>
        <w:jc w:val="center"/>
      </w:pPr>
    </w:p>
    <w:p>
      <w:pPr>
        <w:pStyle w:val="28"/>
        <w:spacing w:line="560" w:lineRule="exact"/>
        <w:ind w:firstLineChars="0" w:firstLine="0"/>
        <w:jc w:val="center"/>
      </w:pPr>
    </w:p>
    <w:p>
      <w:pPr>
        <w:pStyle w:val="28"/>
        <w:spacing w:line="560" w:lineRule="exact"/>
        <w:ind w:firstLineChars="0" w:firstLine="0"/>
        <w:jc w:val="center"/>
      </w:pPr>
    </w:p>
    <w:p>
      <w:pPr>
        <w:pStyle w:val="28"/>
        <w:spacing w:line="560" w:lineRule="exact"/>
        <w:ind w:firstLineChars="0" w:firstLine="0"/>
        <w:jc w:val="center"/>
      </w:pPr>
    </w:p>
    <w:p>
      <w:pPr>
        <w:pStyle w:val="28"/>
        <w:spacing w:line="560" w:lineRule="exact"/>
        <w:ind w:firstLineChars="0" w:firstLine="0"/>
        <w:jc w:val="center"/>
      </w:pPr>
    </w:p>
    <w:p>
      <w:pPr>
        <w:pStyle w:val="28"/>
        <w:spacing w:line="560" w:lineRule="exact"/>
        <w:ind w:firstLineChars="0" w:firstLine="0"/>
        <w:jc w:val="center"/>
      </w:pPr>
    </w:p>
    <w:p>
      <w:pPr>
        <w:pStyle w:val="28"/>
        <w:spacing w:line="560" w:lineRule="exact"/>
        <w:ind w:firstLineChars="0" w:firstLine="0"/>
        <w:jc w:val="center"/>
      </w:pPr>
    </w:p>
    <w:p>
      <w:pPr>
        <w:pStyle w:val="28"/>
        <w:spacing w:line="560" w:lineRule="exact"/>
        <w:ind w:firstLineChars="0" w:firstLine="0"/>
        <w:jc w:val="center"/>
      </w:pPr>
    </w:p>
    <w:p>
      <w:pPr>
        <w:pStyle w:val="28"/>
        <w:spacing w:line="560" w:lineRule="exact"/>
        <w:ind w:firstLineChars="0" w:firstLine="0"/>
        <w:jc w:val="center"/>
      </w:pPr>
    </w:p>
    <w:p>
      <w:pPr>
        <w:pStyle w:val="28"/>
        <w:spacing w:line="560" w:lineRule="exact"/>
        <w:ind w:firstLineChars="0" w:firstLine="0"/>
        <w:jc w:val="center"/>
      </w:pPr>
    </w:p>
    <w:p>
      <w:pPr>
        <w:pStyle w:val="28"/>
        <w:spacing w:line="560" w:lineRule="exact"/>
        <w:ind w:firstLineChars="0" w:firstLine="0"/>
        <w:jc w:val="center"/>
      </w:pPr>
    </w:p>
    <w:p>
      <w:pPr>
        <w:pStyle w:val="28"/>
        <w:spacing w:line="560" w:lineRule="exact"/>
        <w:ind w:firstLineChars="0" w:firstLine="0"/>
        <w:jc w:val="center"/>
      </w:pPr>
    </w:p>
    <w:p>
      <w:pPr>
        <w:pStyle w:val="28"/>
        <w:spacing w:line="560" w:lineRule="exact"/>
        <w:ind w:firstLineChars="0" w:firstLine="0"/>
        <w:jc w:val="center"/>
      </w:pPr>
    </w:p>
    <w:p>
      <w:pPr>
        <w:pStyle w:val="28"/>
        <w:spacing w:line="560" w:lineRule="exact"/>
        <w:ind w:firstLineChars="0" w:firstLine="0"/>
        <w:jc w:val="center"/>
      </w:pPr>
    </w:p>
    <w:p>
      <w:pPr>
        <w:pStyle w:val="28"/>
        <w:spacing w:line="560" w:lineRule="exact"/>
        <w:ind w:firstLineChars="0" w:firstLine="0"/>
        <w:jc w:val="center"/>
      </w:pPr>
    </w:p>
    <w:p>
      <w:pPr>
        <w:pStyle w:val="28"/>
        <w:spacing w:line="560" w:lineRule="exact"/>
        <w:ind w:firstLineChars="0" w:firstLine="0"/>
        <w:jc w:val="center"/>
      </w:pPr>
    </w:p>
    <w:p>
      <w:pPr>
        <w:spacing w:line="560" w:lineRule="exact"/>
      </w:pPr>
    </w:p>
    <w:sectPr>
      <w:footerReference w:type="default" r:id="rId2"/>
      <w:footerReference w:type="even" r:id="rId3"/>
      <w:pgSz w:w="11907" w:h="16840"/>
      <w:pgMar w:top="2098" w:right="1361" w:bottom="1985" w:left="1531" w:header="851" w:footer="1418" w:gutter="0"/>
      <w:pgNumType/>
      <w:docGrid w:type="lines" w:linePitch="435"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080E0000" w:usb2="00000000" w:usb3="00000000" w:csb0="00040001" w:csb1="00000000"/>
  </w:font>
  <w:font w:name="方正黑体_GBK">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方正小标宋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方正仿宋简体">
    <w:altName w:val="宋体"/>
    <w:panose1 w:val="00000000000000000000"/>
    <w:charset w:val="00"/>
    <w:family w:val="auto"/>
    <w:pitch w:val="variable"/>
    <w:sig w:usb0="00000000" w:usb1="00000000" w:usb2="00000000" w:usb3="00000000" w:csb0="00000000" w:csb1="00000000"/>
  </w:font>
  <w:font w:name="Arial">
    <w:panose1 w:val="020B0604020202020204"/>
    <w:charset w:val="00"/>
    <w:family w:val="auto"/>
    <w:pitch w:val="variable"/>
    <w:sig w:usb0="00007A87" w:usb1="80000000" w:usb2="00000008" w:usb3="00000000" w:csb0="400001FF" w:csb1="FFFF0000"/>
  </w:font>
  <w:font w:name="黑体">
    <w:panose1 w:val="02010600030101010101"/>
    <w:charset w:val="86"/>
    <w:family w:val="auto"/>
    <w:pitch w:val="variable"/>
    <w:sig w:usb0="00000001" w:usb1="080E0000" w:usb2="00000000" w:usb3="00000000" w:csb0="00040000" w:csb1="00000000"/>
  </w:font>
  <w:font w:name="Calibri">
    <w:panose1 w:val="020F0502020204030204"/>
    <w:charset w:val="00"/>
    <w:family w:val="auto"/>
    <w:pitch w:val="variable"/>
    <w:sig w:usb0="E10002FF" w:usb1="4000ACFF" w:usb2="00000009" w:usb3="00000000" w:csb0="2000019F" w:csb1="00000000"/>
  </w:font>
  <w:font w:name="Wingding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7"/>
      </w:tabs>
      <w:spacing w:line="200" w:lineRule="exact"/>
      <w:ind w:rightChars="100" w:right="320"/>
      <w:jc w:val="right"/>
      <w:rPr>
        <w:rFonts w:ascii="宋体" w:eastAsia="宋体"/>
        <w:sz w:val="28"/>
        <w:szCs w:val="28"/>
      </w:rPr>
    </w:pPr>
    <w:r>
      <w:rPr>
        <w:sz w:val="28"/>
      </w:rPr>
      <w:tab/>
    </w:r>
  </w:p>
  <w:p>
    <w:pPr>
      <w:pStyle w:val="16"/>
      <w:tabs>
        <w:tab w:val="center" w:pos="4153"/>
        <w:tab w:val="right" w:pos="8307"/>
      </w:tabs>
      <w:wordWrap w:val="0"/>
      <w:spacing w:line="240" w:lineRule="auto"/>
      <w:ind w:rightChars="100" w:right="320"/>
      <w:jc w:val="right"/>
      <w:rPr>
        <w:rFonts w:ascii="宋体" w:eastAsia="宋体" w:hint="eastAsia"/>
        <w:sz w:val="28"/>
      </w:rPr>
    </w:pPr>
    <w:r>
      <w:rPr>
        <w:rFonts w:ascii="宋体" w:eastAsia="宋体" w:hint="eastAsia"/>
        <w:sz w:val="28"/>
        <w:szCs w:val="28"/>
      </w:rPr>
      <w:t>-</w:t>
    </w:r>
    <w:r>
      <w:rPr>
        <w:rFonts w:ascii="宋体" w:eastAsia="宋体"/>
        <w:sz w:val="28"/>
        <w:szCs w:val="28"/>
      </w:rPr>
      <w:t xml:space="preserve"> </w:t>
    </w:r>
    <w:r>
      <w:rPr>
        <w:rFonts w:ascii="宋体" w:eastAsia="宋体" w:hint="eastAsia"/>
        <w:sz w:val="28"/>
        <w:szCs w:val="28"/>
      </w:rPr>
      <w:fldChar w:fldCharType="begin"/>
    </w:r>
    <w:r>
      <w:rPr>
        <w:rFonts w:ascii="宋体" w:eastAsia="宋体" w:hint="eastAsia"/>
        <w:sz w:val="28"/>
        <w:szCs w:val="28"/>
      </w:rPr>
      <w:instrText>Page</w:instrText>
    </w:r>
    <w:r>
      <w:rPr>
        <w:rFonts w:ascii="宋体" w:eastAsia="宋体" w:hint="eastAsia"/>
        <w:sz w:val="28"/>
        <w:szCs w:val="28"/>
      </w:rPr>
      <w:fldChar w:fldCharType="separate"/>
    </w:r>
    <w:r>
      <w:rPr>
        <w:rFonts w:ascii="宋体" w:eastAsia="宋体" w:hint="eastAsia"/>
        <w:sz w:val="28"/>
        <w:szCs w:val="28"/>
      </w:rPr>
      <w:t>1</w:t>
    </w:r>
    <w:r>
      <w:rPr>
        <w:rFonts w:ascii="宋体" w:eastAsia="宋体" w:hint="eastAsia"/>
        <w:sz w:val="28"/>
        <w:szCs w:val="28"/>
      </w:rPr>
      <w:fldChar w:fldCharType="end"/>
    </w:r>
    <w:r>
      <w:rPr>
        <w:rFonts w:ascii="宋体" w:eastAsia="宋体"/>
        <w:sz w:val="28"/>
        <w:szCs w:val="28"/>
      </w:rPr>
      <w:t xml:space="preserve"> </w:t>
    </w:r>
    <w:r>
      <w:rPr>
        <w:rFonts w:ascii="宋体" w:eastAsia="宋体" w:hint="eastAsia"/>
        <w:sz w:val="28"/>
        <w:szCs w:val="28"/>
      </w:rPr>
      <w:t>-</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7"/>
      </w:tabs>
      <w:spacing w:line="240" w:lineRule="auto"/>
      <w:ind w:leftChars="100" w:left="320"/>
      <w:rPr>
        <w:rFonts w:ascii="宋体" w:eastAsia="宋体" w:hint="eastAsia"/>
        <w:sz w:val="28"/>
      </w:rPr>
    </w:pPr>
    <w:r>
      <w:rPr>
        <w:rFonts w:ascii="宋体" w:eastAsia="宋体" w:hint="eastAsia"/>
        <w:sz w:val="28"/>
        <w:szCs w:val="28"/>
      </w:rPr>
      <w:t>-</w:t>
    </w:r>
    <w:r>
      <w:rPr>
        <w:rFonts w:ascii="宋体" w:eastAsia="宋体"/>
        <w:sz w:val="28"/>
        <w:szCs w:val="28"/>
      </w:rPr>
      <w:t xml:space="preserve"> </w:t>
    </w:r>
    <w:r>
      <w:rPr>
        <w:rFonts w:ascii="宋体" w:eastAsia="宋体" w:hint="eastAsia"/>
        <w:sz w:val="28"/>
        <w:szCs w:val="28"/>
      </w:rPr>
      <w:fldChar w:fldCharType="begin"/>
    </w:r>
    <w:r>
      <w:rPr>
        <w:rFonts w:ascii="宋体" w:eastAsia="宋体" w:hint="eastAsia"/>
        <w:sz w:val="28"/>
        <w:szCs w:val="28"/>
      </w:rPr>
      <w:instrText>Page</w:instrText>
    </w:r>
    <w:r>
      <w:rPr>
        <w:rFonts w:ascii="宋体" w:eastAsia="宋体" w:hint="eastAsia"/>
        <w:sz w:val="28"/>
        <w:szCs w:val="28"/>
      </w:rPr>
      <w:fldChar w:fldCharType="separate"/>
    </w:r>
    <w:r>
      <w:rPr>
        <w:rFonts w:ascii="宋体" w:eastAsia="宋体" w:hint="eastAsia"/>
        <w:sz w:val="28"/>
        <w:szCs w:val="28"/>
      </w:rPr>
      <w:t>2</w:t>
    </w:r>
    <w:r>
      <w:rPr>
        <w:rFonts w:ascii="宋体" w:eastAsia="宋体" w:hint="eastAsia"/>
        <w:sz w:val="28"/>
        <w:szCs w:val="28"/>
      </w:rPr>
      <w:fldChar w:fldCharType="end"/>
    </w:r>
    <w:r>
      <w:rPr>
        <w:rFonts w:ascii="宋体" w:eastAsia="宋体"/>
        <w:sz w:val="28"/>
        <w:szCs w:val="28"/>
      </w:rPr>
      <w:t xml:space="preserve"> </w:t>
    </w:r>
    <w:r>
      <w:rPr>
        <w:rFonts w:ascii="宋体" w:eastAsia="宋体" w:hint="eastAsia"/>
        <w:sz w:val="28"/>
        <w:szCs w:val="28"/>
      </w:rPr>
      <w:t>-</w: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59304A8F"/>
    <w:multiLevelType w:val="singleLevel"/>
    <w:tmpl w:val="00000000"/>
    <w:lvl w:ilvl="0">
      <w:start w:val="1"/>
      <w:numFmt w:val="bullet"/>
      <w:lvlRestart w:val="0"/>
      <w:lvlText w:val=""/>
      <w:lvlJc w:val="left"/>
      <w:pPr>
        <w:tabs>
          <w:tab w:val="num" w:pos="1620"/>
        </w:tabs>
        <w:ind w:left="162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trackRevisions/>
  <w:defaultTabStop w:val="420"/>
  <w:evenAndOddHeaders/>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adjustRightInd w:val="0"/>
      <w:snapToGrid w:val="0"/>
      <w:spacing w:line="594" w:lineRule="exact"/>
      <w:ind w:firstLineChars="200" w:firstLine="200"/>
      <w:jc w:val="both"/>
    </w:pPr>
    <w:rPr>
      <w:rFonts w:ascii="Times New Roman" w:eastAsia="方正仿宋简体" w:cs="Times New Roman" w:hAnsi="Times New Roman"/>
      <w:kern w:val="2"/>
      <w:sz w:val="32"/>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20"/>
    </w:rPr>
  </w:style>
  <w:style w:type="paragraph" w:styleId="3">
    <w:name w:val="heading 3"/>
    <w:basedOn w:val="0"/>
    <w:next w:val="0"/>
    <w:pPr>
      <w:keepNext/>
      <w:keepLines/>
      <w:widowControl w:val="0"/>
      <w:spacing w:before="260" w:after="260" w:line="415" w:lineRule="auto"/>
      <w:outlineLvl w:val="2"/>
    </w:pPr>
    <w:rPr>
      <w:b/>
      <w:sz w:val="20"/>
    </w:rPr>
  </w:style>
  <w:style w:type="character" w:default="1" w:styleId="10">
    <w:name w:val="Default Paragraph Font"/>
  </w:style>
  <w:style w:type="paragraph" w:styleId="15">
    <w:name w:val="header"/>
    <w:basedOn w:val="0"/>
    <w:pPr>
      <w:pBdr>
        <w:bottom w:val="single" w:sz="6" w:space="1" w:color="auto"/>
      </w:pBdr>
      <w:tabs>
        <w:tab w:val="center" w:pos="4153"/>
        <w:tab w:val="right" w:pos="8307"/>
      </w:tabs>
      <w:adjustRightInd w:val="0"/>
      <w:snapToGrid w:val="0"/>
      <w:jc w:val="center"/>
    </w:pPr>
    <w:rPr>
      <w:sz w:val="18"/>
    </w:rPr>
  </w:style>
  <w:style w:type="paragraph" w:styleId="16">
    <w:name w:val="footer"/>
    <w:basedOn w:val="0"/>
    <w:pPr>
      <w:tabs>
        <w:tab w:val="center" w:pos="4153"/>
        <w:tab w:val="right" w:pos="8307"/>
      </w:tabs>
      <w:adjustRightInd w:val="0"/>
      <w:snapToGrid w:val="0"/>
      <w:jc w:val="left"/>
    </w:pPr>
    <w:rPr>
      <w:sz w:val="18"/>
    </w:rPr>
  </w:style>
  <w:style w:type="character" w:styleId="17">
    <w:name w:val="page number"/>
    <w:basedOn w:val="10"/>
  </w:style>
  <w:style w:type="paragraph" w:styleId="18">
    <w:name w:val="List Bullet 4"/>
    <w:basedOn w:val="0"/>
    <w:pPr>
      <w:numPr>
        <w:ilvl w:val="0"/>
        <w:numId w:val="1"/>
      </w:numPr>
      <w:ind w:firstLineChars="0"/>
    </w:pPr>
  </w:style>
  <w:style w:type="paragraph" w:customStyle="1" w:styleId="19">
    <w:name w:val="样式 10 磅"/>
    <w:next w:val="18"/>
    <w:pPr>
      <w:widowControl w:val="0"/>
      <w:jc w:val="both"/>
    </w:pPr>
    <w:rPr>
      <w:rFonts w:ascii="Times New Roman" w:eastAsia="宋体" w:cs="Times New Roman" w:hAnsi="Times New Roman"/>
      <w:kern w:val="2"/>
      <w:sz w:val="21"/>
      <w:szCs w:val="24"/>
      <w:lang w:val="en-US" w:eastAsia="zh-CN" w:bidi="ar-SA"/>
    </w:rPr>
  </w:style>
  <w:style w:type="paragraph" w:customStyle="1" w:styleId="20">
    <w:name w:val="样式 24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21">
    <w:name w:val="样式 7 二号"/>
    <w:pPr>
      <w:widowControl/>
      <w:spacing w:before="100" w:after="100" w:line="276" w:lineRule="auto"/>
      <w:jc w:val="left"/>
    </w:pPr>
    <w:rPr>
      <w:rFonts w:ascii="方正小标宋_GBK" w:eastAsia="方正小标宋_GBK" w:cs="Times New Roman"/>
      <w:kern w:val="0"/>
      <w:sz w:val="44"/>
      <w:szCs w:val="44"/>
      <w:lang w:val="en-US" w:eastAsia="zh-CN" w:bidi="ar-SA"/>
    </w:rPr>
  </w:style>
  <w:style w:type="paragraph" w:customStyle="1" w:styleId="22">
    <w:name w:val="样式 1 小二"/>
    <w:pPr>
      <w:widowControl/>
      <w:spacing w:before="100" w:beforeAutospacing="1" w:after="100" w:afterAutospacing="1" w:line="240" w:lineRule="auto"/>
      <w:jc w:val="left"/>
      <w:outlineLvl w:val="1"/>
    </w:pPr>
    <w:rPr>
      <w:rFonts w:ascii="宋体" w:eastAsia="宋体" w:cs="宋体"/>
      <w:b/>
      <w:bCs/>
      <w:kern w:val="0"/>
      <w:sz w:val="36"/>
      <w:szCs w:val="36"/>
      <w:lang w:val="en-US" w:eastAsia="zh-CN" w:bidi="ar-SA"/>
    </w:rPr>
  </w:style>
  <w:style w:type="paragraph" w:customStyle="1" w:styleId="23">
    <w:name w:val="样式 25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24">
    <w:name w:val="样式 8 二号"/>
    <w:pPr>
      <w:keepNext/>
      <w:keepLines/>
      <w:widowControl w:val="0"/>
      <w:spacing w:line="578" w:lineRule="auto"/>
      <w:jc w:val="both"/>
      <w:outlineLvl w:val="0"/>
    </w:pPr>
    <w:rPr>
      <w:rFonts w:ascii="Times New Roman" w:eastAsia="宋体" w:cs="Times New Roman" w:hAnsi="Times New Roman"/>
      <w:b/>
      <w:bCs/>
      <w:kern w:val="44"/>
      <w:sz w:val="44"/>
      <w:szCs w:val="44"/>
      <w:lang w:val="en-US" w:eastAsia="zh-CN" w:bidi="ar-SA"/>
    </w:rPr>
  </w:style>
  <w:style w:type="paragraph" w:customStyle="1" w:styleId="25">
    <w:name w:val="样式 2 小二"/>
    <w:pPr>
      <w:widowControl/>
      <w:spacing w:before="100" w:beforeAutospacing="1" w:after="100" w:afterAutospacing="1" w:line="240" w:lineRule="auto"/>
      <w:jc w:val="left"/>
      <w:outlineLvl w:val="1"/>
    </w:pPr>
    <w:rPr>
      <w:rFonts w:ascii="宋体" w:eastAsia="宋体" w:cs="宋体"/>
      <w:b/>
      <w:bCs/>
      <w:kern w:val="0"/>
      <w:sz w:val="36"/>
      <w:szCs w:val="36"/>
      <w:lang w:val="en-US" w:eastAsia="zh-CN" w:bidi="ar-SA"/>
    </w:rPr>
  </w:style>
  <w:style w:type="paragraph" w:customStyle="1" w:styleId="26">
    <w:name w:val="样式 31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27">
    <w:name w:val="样式 26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28">
    <w:name w:val="样式 43 三号"/>
    <w:pPr>
      <w:widowControl w:val="0"/>
      <w:adjustRightInd w:val="0"/>
      <w:snapToGrid w:val="0"/>
      <w:spacing w:line="594" w:lineRule="exact"/>
      <w:ind w:firstLineChars="200" w:firstLine="200"/>
      <w:jc w:val="both"/>
    </w:pPr>
    <w:rPr>
      <w:rFonts w:ascii="Times New Roman" w:eastAsia="方正仿宋简体" w:cs="Times New Roman" w:hAnsi="Times New Roman"/>
      <w:kern w:val="2"/>
      <w:sz w:val="32"/>
      <w:szCs w:val="24"/>
      <w:lang w:val="en-US" w:eastAsia="zh-CN" w:bidi="ar-SA"/>
    </w:rPr>
  </w:style>
  <w:style w:type="paragraph" w:customStyle="1" w:styleId="29">
    <w:name w:val="样式 10 二号"/>
    <w:pPr>
      <w:keepNext/>
      <w:keepLines/>
      <w:widowControl w:val="0"/>
      <w:spacing w:line="578" w:lineRule="auto"/>
      <w:jc w:val="both"/>
      <w:outlineLvl w:val="0"/>
    </w:pPr>
    <w:rPr>
      <w:rFonts w:ascii="Times New Roman" w:eastAsia="宋体" w:cs="Times New Roman" w:hAnsi="Times New Roman"/>
      <w:b/>
      <w:bCs/>
      <w:kern w:val="44"/>
      <w:sz w:val="44"/>
      <w:szCs w:val="44"/>
      <w:lang w:val="en-US" w:eastAsia="zh-CN" w:bidi="ar-SA"/>
    </w:rPr>
  </w:style>
  <w:style w:type="paragraph" w:customStyle="1" w:styleId="30">
    <w:name w:val="样式 27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31">
    <w:name w:val="样式 1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32">
    <w:name w:val="样式 2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33">
    <w:name w:val="样式 3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34">
    <w:name w:val="样式 4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35">
    <w:name w:val="样式 5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36">
    <w:name w:val="样式 6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37">
    <w:name w:val="样式 7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38">
    <w:name w:val="样式 8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39">
    <w:name w:val="样式 9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40">
    <w:name w:val="样式 10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41">
    <w:name w:val="样式 11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42">
    <w:name w:val="样式 12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43">
    <w:name w:val="样式 13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44">
    <w:name w:val="样式 14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45">
    <w:name w:val="样式 15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46">
    <w:name w:val="样式 16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47">
    <w:name w:val="样式 17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48">
    <w:name w:val="样式 18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49">
    <w:name w:val="样式 19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50">
    <w:name w:val="样式 20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51">
    <w:name w:val="样式 21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52">
    <w:name w:val="样式 22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styleId="53">
    <w:name w:val="annotation text"/>
    <w:basedOn w:val="0"/>
    <w:pPr>
      <w:jc w:val="left"/>
    </w:pPr>
  </w:style>
  <w:style w:type="character" w:styleId="54">
    <w:name w:val="footnote reference"/>
    <w:basedOn w:val="10"/>
    <w:rPr>
      <w:vertAlign w:val="superscript"/>
    </w:rPr>
  </w:style>
  <w:style w:type="paragraph" w:customStyle="1" w:styleId="55">
    <w:name w:val="样式 23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56">
    <w:name w:val="样式 16 小三"/>
    <w:next w:val="54"/>
    <w:pPr>
      <w:widowControl w:val="0"/>
      <w:ind w:firstLineChars="200" w:firstLine="200"/>
      <w:jc w:val="both"/>
    </w:pPr>
    <w:rPr>
      <w:rFonts w:ascii="宋体" w:eastAsia="宋体" w:cs="Times New Roman"/>
      <w:kern w:val="2"/>
      <w:sz w:val="30"/>
      <w:szCs w:val="24"/>
      <w:lang w:val="en-US" w:eastAsia="zh-CN" w:bidi="ar-SA"/>
    </w:rPr>
  </w:style>
  <w:style w:type="paragraph" w:customStyle="1" w:styleId="57">
    <w:name w:val="样式 28 10 磅"/>
    <w:link w:val="57Char"/>
    <w:pPr>
      <w:widowControl w:val="0"/>
      <w:jc w:val="both"/>
    </w:pPr>
    <w:rPr>
      <w:rFonts w:ascii="Times New Roman" w:eastAsia="宋体" w:cs="Times New Roman" w:hAnsi="Times New Roman"/>
      <w:kern w:val="2"/>
      <w:sz w:val="21"/>
      <w:szCs w:val="24"/>
      <w:lang w:val="en-US" w:eastAsia="zh-CN" w:bidi="ar-SA"/>
    </w:rPr>
  </w:style>
  <w:style w:type="character" w:customStyle="1" w:styleId="57Char">
    <w:name w:val="样式 28 10 磅 Char"/>
    <w:basedOn w:val="10"/>
    <w:link w:val="57"/>
    <w:rPr>
      <w:rFonts w:ascii="Times New Roman" w:eastAsia="宋体" w:cs="Times New Roman" w:hAnsi="Times New Roman"/>
      <w:kern w:val="2"/>
      <w:sz w:val="21"/>
      <w:szCs w:val="24"/>
      <w:lang w:val="en-US" w:eastAsia="zh-CN" w:bidi="ar-SA"/>
    </w:rPr>
  </w:style>
  <w:style w:type="paragraph" w:customStyle="1" w:styleId="58">
    <w:name w:val="样式 29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59">
    <w:name w:val="样式 30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60">
    <w:name w:val="样式 32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61">
    <w:name w:val="样式 33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62">
    <w:name w:val="样式 34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63">
    <w:name w:val="样式 三号"/>
    <w:link w:val="63Char"/>
    <w:pPr>
      <w:widowControl w:val="0"/>
      <w:adjustRightInd w:val="0"/>
      <w:snapToGrid w:val="0"/>
      <w:spacing w:line="594" w:lineRule="exact"/>
      <w:ind w:firstLineChars="200" w:firstLine="200"/>
      <w:jc w:val="both"/>
    </w:pPr>
    <w:rPr>
      <w:rFonts w:ascii="Times New Roman" w:eastAsia="方正仿宋简体" w:cs="Times New Roman" w:hAnsi="Times New Roman"/>
      <w:kern w:val="2"/>
      <w:sz w:val="32"/>
      <w:szCs w:val="24"/>
      <w:lang w:val="en-US" w:eastAsia="zh-CN" w:bidi="ar-SA"/>
    </w:rPr>
  </w:style>
  <w:style w:type="character" w:customStyle="1" w:styleId="63Char">
    <w:name w:val="样式 三号 Char"/>
    <w:basedOn w:val="10"/>
    <w:link w:val="63"/>
    <w:rPr>
      <w:rFonts w:ascii="Times New Roman" w:eastAsia="方正仿宋简体" w:cs="Times New Roman" w:hAnsi="Times New Roman"/>
      <w:kern w:val="2"/>
      <w:sz w:val="32"/>
      <w:szCs w:val="24"/>
      <w:lang w:val="en-US" w:eastAsia="zh-CN" w:bidi="ar-SA"/>
    </w:rPr>
  </w:style>
  <w:style w:type="paragraph" w:customStyle="1" w:styleId="64">
    <w:name w:val="样式 小三"/>
    <w:pPr>
      <w:widowControl w:val="0"/>
      <w:ind w:firstLineChars="200" w:firstLine="200"/>
      <w:jc w:val="both"/>
    </w:pPr>
    <w:rPr>
      <w:rFonts w:ascii="宋体" w:eastAsia="宋体" w:cs="Times New Roman"/>
      <w:kern w:val="2"/>
      <w:sz w:val="30"/>
      <w:szCs w:val="24"/>
      <w:lang w:val="en-US" w:eastAsia="zh-CN" w:bidi="ar-SA"/>
    </w:rPr>
  </w:style>
  <w:style w:type="paragraph" w:customStyle="1" w:styleId="65">
    <w:name w:val="样式 35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66">
    <w:name w:val="样式 1 三号"/>
    <w:next w:val="19"/>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2"/>
      <w:u w:val="none" w:color="auto"/>
      <w:bdr w:val="none" w:sz="0" w:space="0" w:color="auto"/>
      <w:vertAlign w:val="baseline"/>
      <w:em w:val="none"/>
      <w:lang w:val="en-US" w:eastAsia="zh-CN" w:bidi="ar-SA"/>
    </w:rPr>
  </w:style>
  <w:style w:type="paragraph" w:customStyle="1" w:styleId="67">
    <w:name w:val="样式 36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 w:type="paragraph" w:customStyle="1" w:styleId="68">
    <w:name w:val="样式 37 10 磅"/>
    <w:pPr>
      <w:widowControl w:val="0"/>
      <w:spacing w:beforeLines="100" w:before="100" w:afterLines="100" w:after="100" w:line="360" w:lineRule="auto"/>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image" Target="media/2.jpg"/><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474</TotalTime>
  <Application>Yozo_Office</Application>
  <Pages>1</Pages>
  <Words>20</Words>
  <Characters>20</Characters>
  <Lines>1</Lines>
  <Paragraphs>1</Paragraphs>
  <CharactersWithSpaces>20</CharactersWithSpaces>
  <Company>P R C</Company>
</Properties>
</file>

<file path=docProps/core.xml><?xml version="1.0" encoding="utf-8"?>
<cp:coreProperties xmlns:cp="http://schemas.openxmlformats.org/package/2006/metadata/core-properties" xmlns:dc="http://purl.org/dc/elements/1.1/" xmlns:dcterms="http://purl.org/dc/terms/" xmlns:xsi="http://www.w3.org/2001/XMLSchema-instance">
  <dc:creator>罗薇</dc:creator>
  <cp:lastModifiedBy>资凡</cp:lastModifiedBy>
  <cp:revision>1</cp:revision>
  <cp:lastPrinted>2019-12-02T08:01:15Z</cp:lastPrinted>
  <dcterms:created xsi:type="dcterms:W3CDTF">2019-10-08T09:27:01Z</dcterms:created>
  <dcterms:modified xsi:type="dcterms:W3CDTF">2020-04-21T02:18:09Z</dcterms:modified>
</cp:coreProperties>
</file>